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51C36">
      <w:pPr>
        <w:pStyle w:val="4"/>
        <w:ind w:left="0" w:leftChars="0" w:firstLine="0" w:firstLineChars="0"/>
        <w:rPr>
          <w:rFonts w:hint="eastAsia"/>
        </w:rPr>
      </w:pPr>
    </w:p>
    <w:p w14:paraId="6CFC1EDB">
      <w:pPr>
        <w:pStyle w:val="4"/>
        <w:ind w:left="0" w:leftChars="0" w:firstLine="0" w:firstLineChars="0"/>
        <w:rPr>
          <w:rFonts w:hint="eastAsia"/>
        </w:rPr>
      </w:pPr>
    </w:p>
    <w:p w14:paraId="4E9EAD09">
      <w:pPr>
        <w:pStyle w:val="4"/>
        <w:ind w:left="0" w:leftChars="0" w:firstLine="0" w:firstLineChars="0"/>
      </w:pPr>
      <w:r>
        <w:rPr>
          <w:rFonts w:hint="eastAsia"/>
        </w:rPr>
        <w:t xml:space="preserve"> </w:t>
      </w:r>
      <w:r>
        <w:t xml:space="preserve">                                 </w:t>
      </w:r>
    </w:p>
    <w:p w14:paraId="62C3F2C2">
      <w:pPr>
        <w:rPr>
          <w:rFonts w:hint="eastAsia"/>
        </w:rPr>
      </w:pPr>
    </w:p>
    <w:p w14:paraId="4534AD30">
      <w:pPr>
        <w:pStyle w:val="8"/>
        <w:rPr>
          <w:rFonts w:hint="eastAsia"/>
        </w:rPr>
      </w:pPr>
    </w:p>
    <w:p w14:paraId="3291C9FF">
      <w:pPr>
        <w:pStyle w:val="8"/>
        <w:rPr>
          <w:rFonts w:hint="eastAsia"/>
        </w:rPr>
      </w:pPr>
    </w:p>
    <w:p w14:paraId="68147A0D">
      <w:pPr>
        <w:jc w:val="center"/>
        <w:rPr>
          <w:rFonts w:hint="eastAsia"/>
          <w:b/>
          <w:color w:val="auto"/>
          <w:sz w:val="44"/>
          <w:szCs w:val="44"/>
        </w:rPr>
      </w:pPr>
      <w:r>
        <w:rPr>
          <w:b/>
          <w:color w:val="auto"/>
          <w:sz w:val="44"/>
          <w:szCs w:val="44"/>
        </w:rPr>
        <w:t>山西煤机装备制造有限责任公司</w:t>
      </w:r>
    </w:p>
    <w:p w14:paraId="5CB0B275">
      <w:pPr>
        <w:jc w:val="center"/>
        <w:rPr>
          <w:rFonts w:hint="eastAsia"/>
          <w:b/>
          <w:color w:val="auto"/>
          <w:sz w:val="44"/>
          <w:szCs w:val="44"/>
        </w:rPr>
      </w:pPr>
    </w:p>
    <w:p w14:paraId="6F1405B2">
      <w:pPr>
        <w:jc w:val="center"/>
        <w:rPr>
          <w:rFonts w:hint="eastAsia"/>
          <w:b/>
          <w:color w:val="auto"/>
          <w:sz w:val="44"/>
          <w:szCs w:val="44"/>
          <w:lang w:eastAsia="zh-CN"/>
        </w:rPr>
      </w:pPr>
    </w:p>
    <w:p w14:paraId="134EF513">
      <w:pPr>
        <w:jc w:val="center"/>
        <w:rPr>
          <w:rFonts w:ascii="Times New Roman" w:hAnsi="Times New Roman" w:eastAsia="黑体" w:cs="Times New Roman"/>
          <w:bCs/>
          <w:color w:val="auto"/>
          <w:sz w:val="36"/>
          <w:szCs w:val="36"/>
        </w:rPr>
      </w:pPr>
      <w:r>
        <w:rPr>
          <w:rFonts w:hint="eastAsia" w:ascii="Times New Roman" w:hAnsi="Times New Roman" w:eastAsia="黑体" w:cs="Times New Roman"/>
          <w:bCs/>
          <w:color w:val="auto"/>
          <w:spacing w:val="-20"/>
          <w:w w:val="90"/>
          <w:sz w:val="52"/>
          <w:szCs w:val="52"/>
          <w:lang w:val="en-US" w:eastAsia="zh-CN"/>
        </w:rPr>
        <w:t>智慧</w:t>
      </w:r>
      <w:r>
        <w:rPr>
          <w:rFonts w:hint="eastAsia" w:ascii="Times New Roman" w:hAnsi="Times New Roman" w:eastAsia="黑体" w:cs="Times New Roman"/>
          <w:bCs/>
          <w:color w:val="auto"/>
          <w:spacing w:val="-20"/>
          <w:w w:val="90"/>
          <w:sz w:val="52"/>
          <w:szCs w:val="52"/>
        </w:rPr>
        <w:t>园区</w:t>
      </w:r>
      <w:r>
        <w:rPr>
          <w:rFonts w:hint="eastAsia" w:eastAsia="黑体" w:cs="Times New Roman"/>
          <w:bCs/>
          <w:color w:val="auto"/>
          <w:spacing w:val="-20"/>
          <w:w w:val="90"/>
          <w:sz w:val="52"/>
          <w:szCs w:val="52"/>
          <w:lang w:val="en-US" w:eastAsia="zh-CN"/>
        </w:rPr>
        <w:t>办公楼楼体发光字</w:t>
      </w:r>
      <w:r>
        <w:rPr>
          <w:rFonts w:hint="eastAsia" w:ascii="Times New Roman" w:hAnsi="Times New Roman" w:eastAsia="黑体" w:cs="Times New Roman"/>
          <w:bCs/>
          <w:color w:val="auto"/>
          <w:spacing w:val="-20"/>
          <w:w w:val="90"/>
          <w:sz w:val="52"/>
          <w:szCs w:val="52"/>
        </w:rPr>
        <w:t>采购及安装</w:t>
      </w:r>
    </w:p>
    <w:p w14:paraId="0153DEDF">
      <w:pPr>
        <w:jc w:val="center"/>
        <w:rPr>
          <w:rFonts w:hint="eastAsia"/>
          <w:b/>
          <w:color w:val="auto"/>
          <w:sz w:val="44"/>
          <w:szCs w:val="44"/>
          <w:lang w:eastAsia="zh-CN"/>
        </w:rPr>
      </w:pPr>
    </w:p>
    <w:p w14:paraId="74403F84">
      <w:pPr>
        <w:jc w:val="center"/>
        <w:rPr>
          <w:rFonts w:hint="eastAsia"/>
          <w:b/>
          <w:color w:val="auto"/>
          <w:sz w:val="44"/>
          <w:szCs w:val="44"/>
          <w:lang w:eastAsia="zh-CN"/>
        </w:rPr>
      </w:pPr>
    </w:p>
    <w:p w14:paraId="1C30896F">
      <w:pPr>
        <w:jc w:val="center"/>
        <w:rPr>
          <w:rFonts w:hint="eastAsia" w:ascii="Times New Roman" w:hAnsi="Times New Roman" w:eastAsia="黑体" w:cs="Times New Roman"/>
          <w:bCs/>
          <w:color w:val="auto"/>
          <w:spacing w:val="-20"/>
          <w:w w:val="90"/>
          <w:sz w:val="52"/>
          <w:szCs w:val="52"/>
        </w:rPr>
      </w:pPr>
      <w:r>
        <w:rPr>
          <w:rFonts w:hint="eastAsia" w:ascii="Times New Roman" w:hAnsi="Times New Roman" w:eastAsia="黑体" w:cs="Times New Roman"/>
          <w:bCs/>
          <w:color w:val="auto"/>
          <w:spacing w:val="-20"/>
          <w:w w:val="90"/>
          <w:sz w:val="52"/>
          <w:szCs w:val="52"/>
        </w:rPr>
        <w:t>询比采购文件</w:t>
      </w:r>
    </w:p>
    <w:p w14:paraId="6FA6FBC0">
      <w:pPr>
        <w:jc w:val="center"/>
        <w:rPr>
          <w:rFonts w:hint="eastAsia"/>
          <w:color w:val="auto"/>
          <w:sz w:val="32"/>
          <w:szCs w:val="32"/>
        </w:rPr>
      </w:pPr>
    </w:p>
    <w:p w14:paraId="1ADE9BE8">
      <w:pPr>
        <w:adjustRightInd w:val="0"/>
        <w:snapToGrid w:val="0"/>
        <w:spacing w:line="360" w:lineRule="auto"/>
        <w:ind w:firstLine="2108" w:firstLineChars="700"/>
        <w:jc w:val="both"/>
        <w:rPr>
          <w:rFonts w:hint="default" w:ascii="宋体" w:hAnsi="宋体" w:eastAsia="宋体" w:cs="仿宋_GB2312"/>
          <w:b/>
          <w:color w:val="auto"/>
          <w:sz w:val="30"/>
          <w:szCs w:val="30"/>
          <w:lang w:val="en-US" w:eastAsia="zh-CN"/>
        </w:rPr>
      </w:pPr>
      <w:r>
        <w:rPr>
          <w:rFonts w:hint="eastAsia" w:ascii="宋体" w:hAnsi="宋体" w:cs="仿宋_GB2312"/>
          <w:b/>
          <w:color w:val="auto"/>
          <w:sz w:val="30"/>
          <w:szCs w:val="30"/>
          <w:lang w:eastAsia="zh-CN"/>
        </w:rPr>
        <w:t>（</w:t>
      </w:r>
      <w:r>
        <w:rPr>
          <w:rFonts w:hint="eastAsia" w:ascii="宋体" w:hAnsi="宋体" w:cs="仿宋_GB2312"/>
          <w:b/>
          <w:color w:val="auto"/>
          <w:sz w:val="30"/>
          <w:szCs w:val="30"/>
        </w:rPr>
        <w:t>文件编号：</w:t>
      </w:r>
      <w:r>
        <w:rPr>
          <w:rFonts w:hint="eastAsia" w:ascii="宋体" w:hAnsi="宋体" w:cs="仿宋_GB2312"/>
          <w:b/>
          <w:color w:val="auto"/>
          <w:sz w:val="30"/>
          <w:szCs w:val="30"/>
          <w:lang w:val="en-US" w:eastAsia="zh-CN"/>
        </w:rPr>
        <w:t>SXMJZB-20241110</w:t>
      </w:r>
      <w:r>
        <w:rPr>
          <w:rFonts w:hint="eastAsia" w:ascii="宋体" w:hAnsi="宋体" w:cs="仿宋_GB2312"/>
          <w:b/>
          <w:color w:val="auto"/>
          <w:sz w:val="30"/>
          <w:szCs w:val="30"/>
          <w:lang w:eastAsia="zh-CN"/>
        </w:rPr>
        <w:t>）</w:t>
      </w:r>
    </w:p>
    <w:p w14:paraId="1AB486B6">
      <w:pPr>
        <w:spacing w:line="360" w:lineRule="auto"/>
        <w:jc w:val="center"/>
        <w:rPr>
          <w:rFonts w:hint="eastAsia"/>
          <w:b/>
          <w:color w:val="auto"/>
          <w:sz w:val="36"/>
          <w:szCs w:val="36"/>
        </w:rPr>
      </w:pPr>
    </w:p>
    <w:p w14:paraId="3C128397">
      <w:pPr>
        <w:spacing w:line="360" w:lineRule="auto"/>
        <w:jc w:val="center"/>
        <w:rPr>
          <w:rFonts w:hint="eastAsia"/>
          <w:b/>
          <w:color w:val="auto"/>
          <w:sz w:val="36"/>
          <w:szCs w:val="36"/>
        </w:rPr>
      </w:pPr>
    </w:p>
    <w:p w14:paraId="393E56EA">
      <w:pPr>
        <w:spacing w:line="360" w:lineRule="auto"/>
        <w:jc w:val="center"/>
        <w:rPr>
          <w:rFonts w:hint="eastAsia"/>
          <w:b/>
          <w:color w:val="auto"/>
          <w:sz w:val="36"/>
          <w:szCs w:val="36"/>
        </w:rPr>
      </w:pPr>
    </w:p>
    <w:p w14:paraId="36A6876E">
      <w:pPr>
        <w:spacing w:line="360" w:lineRule="auto"/>
        <w:jc w:val="center"/>
        <w:rPr>
          <w:rFonts w:hint="eastAsia"/>
          <w:b/>
          <w:color w:val="auto"/>
          <w:sz w:val="36"/>
          <w:szCs w:val="36"/>
        </w:rPr>
      </w:pPr>
    </w:p>
    <w:p w14:paraId="45ADCEBC">
      <w:pPr>
        <w:spacing w:line="360" w:lineRule="auto"/>
        <w:jc w:val="center"/>
        <w:rPr>
          <w:rFonts w:hint="eastAsia"/>
          <w:b/>
          <w:color w:val="auto"/>
          <w:sz w:val="36"/>
          <w:szCs w:val="36"/>
        </w:rPr>
      </w:pPr>
    </w:p>
    <w:p w14:paraId="41FE2A7E">
      <w:pPr>
        <w:spacing w:line="360" w:lineRule="auto"/>
        <w:jc w:val="center"/>
        <w:rPr>
          <w:rFonts w:hint="eastAsia"/>
          <w:b/>
          <w:color w:val="auto"/>
          <w:sz w:val="36"/>
          <w:szCs w:val="36"/>
        </w:rPr>
      </w:pPr>
    </w:p>
    <w:p w14:paraId="6D531740">
      <w:pPr>
        <w:spacing w:line="360" w:lineRule="auto"/>
        <w:jc w:val="both"/>
        <w:rPr>
          <w:rFonts w:hint="eastAsia"/>
          <w:b/>
          <w:color w:val="auto"/>
          <w:sz w:val="36"/>
          <w:szCs w:val="36"/>
        </w:rPr>
      </w:pPr>
    </w:p>
    <w:p w14:paraId="6D4C13A2">
      <w:pPr>
        <w:spacing w:line="360" w:lineRule="auto"/>
        <w:jc w:val="both"/>
        <w:rPr>
          <w:rFonts w:hint="eastAsia"/>
          <w:b/>
          <w:color w:val="auto"/>
          <w:sz w:val="36"/>
          <w:szCs w:val="36"/>
        </w:rPr>
      </w:pPr>
    </w:p>
    <w:p w14:paraId="04D2E2EC">
      <w:pPr>
        <w:spacing w:line="360" w:lineRule="auto"/>
        <w:jc w:val="both"/>
        <w:rPr>
          <w:rFonts w:hint="eastAsia"/>
          <w:b/>
          <w:color w:val="auto"/>
          <w:sz w:val="36"/>
          <w:szCs w:val="36"/>
        </w:rPr>
      </w:pPr>
    </w:p>
    <w:p w14:paraId="3C2390E6">
      <w:pPr>
        <w:adjustRightInd w:val="0"/>
        <w:snapToGrid w:val="0"/>
        <w:spacing w:line="360" w:lineRule="auto"/>
        <w:jc w:val="center"/>
        <w:rPr>
          <w:rStyle w:val="35"/>
          <w:rFonts w:hint="eastAsia" w:ascii="宋体" w:hAnsi="宋体" w:cs="仿宋_GB2312"/>
          <w:b/>
          <w:color w:val="auto"/>
          <w:sz w:val="30"/>
          <w:szCs w:val="30"/>
        </w:rPr>
      </w:pPr>
      <w:r>
        <w:rPr>
          <w:rStyle w:val="35"/>
          <w:rFonts w:hint="eastAsia" w:ascii="宋体" w:hAnsi="宋体" w:cs="仿宋_GB2312"/>
          <w:b/>
          <w:bCs/>
          <w:color w:val="auto"/>
          <w:sz w:val="30"/>
          <w:szCs w:val="30"/>
        </w:rPr>
        <w:t>二〇二</w:t>
      </w:r>
      <w:r>
        <w:rPr>
          <w:rStyle w:val="35"/>
          <w:rFonts w:hint="eastAsia" w:ascii="宋体" w:hAnsi="宋体" w:cs="仿宋_GB2312"/>
          <w:b/>
          <w:bCs/>
          <w:color w:val="auto"/>
          <w:sz w:val="30"/>
          <w:szCs w:val="30"/>
          <w:lang w:val="en-US" w:eastAsia="zh-CN"/>
        </w:rPr>
        <w:t>四</w:t>
      </w:r>
      <w:r>
        <w:rPr>
          <w:rStyle w:val="35"/>
          <w:rFonts w:hint="eastAsia" w:ascii="宋体" w:hAnsi="宋体" w:cs="仿宋_GB2312"/>
          <w:b/>
          <w:bCs/>
          <w:color w:val="auto"/>
          <w:sz w:val="30"/>
          <w:szCs w:val="30"/>
        </w:rPr>
        <w:t>年</w:t>
      </w:r>
      <w:r>
        <w:rPr>
          <w:rStyle w:val="35"/>
          <w:rFonts w:hint="eastAsia" w:ascii="宋体" w:hAnsi="宋体" w:cs="仿宋_GB2312"/>
          <w:b/>
          <w:bCs/>
          <w:color w:val="auto"/>
          <w:sz w:val="30"/>
          <w:szCs w:val="30"/>
          <w:lang w:val="en-US" w:eastAsia="zh-CN"/>
        </w:rPr>
        <w:t>十一</w:t>
      </w:r>
      <w:r>
        <w:rPr>
          <w:rStyle w:val="35"/>
          <w:rFonts w:hint="eastAsia" w:ascii="宋体" w:hAnsi="宋体" w:cs="仿宋_GB2312"/>
          <w:b/>
          <w:bCs/>
          <w:color w:val="auto"/>
          <w:sz w:val="30"/>
          <w:szCs w:val="30"/>
        </w:rPr>
        <w:t>月</w:t>
      </w:r>
    </w:p>
    <w:p w14:paraId="129677D0">
      <w:pPr>
        <w:adjustRightInd w:val="0"/>
        <w:snapToGrid w:val="0"/>
        <w:spacing w:line="360" w:lineRule="auto"/>
        <w:rPr>
          <w:b/>
          <w:color w:val="auto"/>
          <w:sz w:val="36"/>
          <w:szCs w:val="36"/>
        </w:rPr>
      </w:pPr>
    </w:p>
    <w:p w14:paraId="0AF4CB44">
      <w:pPr>
        <w:pStyle w:val="17"/>
        <w:widowControl w:val="0"/>
        <w:adjustRightInd w:val="0"/>
        <w:snapToGrid w:val="0"/>
        <w:spacing w:before="0" w:beforeAutospacing="0" w:after="0" w:afterAutospacing="0" w:line="360" w:lineRule="auto"/>
        <w:jc w:val="center"/>
        <w:rPr>
          <w:rStyle w:val="35"/>
          <w:rFonts w:hint="eastAsia" w:ascii="_x000B__x000C_" w:hAnsi="_x000B__x000C_"/>
          <w:color w:val="auto"/>
          <w:sz w:val="32"/>
          <w:szCs w:val="32"/>
        </w:rPr>
      </w:pPr>
      <w:r>
        <w:rPr>
          <w:rFonts w:ascii="Times New Roman" w:hAnsi="Times New Roman" w:cs="Times New Roman"/>
          <w:b/>
          <w:bCs/>
          <w:color w:val="auto"/>
          <w:sz w:val="44"/>
          <w:szCs w:val="44"/>
        </w:rPr>
        <w:t>询比采购邀请书</w:t>
      </w:r>
    </w:p>
    <w:p w14:paraId="7EEE6809">
      <w:pPr>
        <w:spacing w:line="360" w:lineRule="auto"/>
        <w:ind w:firstLine="480" w:firstLineChars="200"/>
        <w:jc w:val="left"/>
        <w:rPr>
          <w:rFonts w:hint="eastAsia" w:cs="仿宋_GB2312"/>
          <w:color w:val="auto"/>
          <w:sz w:val="24"/>
        </w:rPr>
      </w:pPr>
      <w:r>
        <w:rPr>
          <w:rFonts w:ascii="宋体" w:hAnsi="宋体"/>
          <w:color w:val="auto"/>
          <w:sz w:val="24"/>
        </w:rPr>
        <w:t>山西煤机装备制造有限责任公司</w:t>
      </w:r>
      <w:r>
        <w:rPr>
          <w:rFonts w:hint="eastAsia" w:ascii="宋体" w:hAnsi="宋体"/>
          <w:color w:val="auto"/>
          <w:sz w:val="24"/>
        </w:rPr>
        <w:t>组织的</w:t>
      </w:r>
      <w:r>
        <w:rPr>
          <w:rFonts w:hint="eastAsia" w:ascii="宋体" w:hAnsi="宋体"/>
          <w:color w:val="auto"/>
          <w:sz w:val="24"/>
          <w:lang w:val="en-US" w:eastAsia="zh-CN"/>
        </w:rPr>
        <w:t>智慧</w:t>
      </w:r>
      <w:r>
        <w:rPr>
          <w:rFonts w:hint="eastAsia" w:ascii="宋体" w:hAnsi="宋体"/>
          <w:color w:val="auto"/>
          <w:sz w:val="24"/>
        </w:rPr>
        <w:t>园区</w:t>
      </w:r>
      <w:r>
        <w:rPr>
          <w:rFonts w:hint="eastAsia" w:ascii="宋体" w:hAnsi="宋体"/>
          <w:color w:val="auto"/>
          <w:sz w:val="24"/>
          <w:lang w:val="en-US" w:eastAsia="zh-CN"/>
        </w:rPr>
        <w:t>办公楼楼体发光字</w:t>
      </w:r>
      <w:r>
        <w:rPr>
          <w:rFonts w:hint="eastAsia" w:ascii="宋体" w:hAnsi="宋体"/>
          <w:color w:val="auto"/>
          <w:sz w:val="24"/>
        </w:rPr>
        <w:t>采购及安装项目拟采取竞争性谈判方式，特邀请贵公司按照以下要求，准备好谈判资料准时参加谈判会议。</w:t>
      </w:r>
    </w:p>
    <w:p w14:paraId="22A7ED1F">
      <w:pPr>
        <w:pStyle w:val="17"/>
        <w:widowControl w:val="0"/>
        <w:numPr>
          <w:ilvl w:val="0"/>
          <w:numId w:val="1"/>
        </w:numPr>
        <w:adjustRightInd w:val="0"/>
        <w:snapToGrid w:val="0"/>
        <w:spacing w:before="0" w:beforeAutospacing="0" w:after="0" w:afterAutospacing="0" w:line="360" w:lineRule="auto"/>
        <w:ind w:firstLine="482" w:firstLineChars="200"/>
        <w:rPr>
          <w:rFonts w:hint="eastAsia" w:cs="仿宋_GB2312"/>
          <w:b w:val="0"/>
          <w:bCs w:val="0"/>
          <w:color w:val="auto"/>
          <w:sz w:val="24"/>
          <w:szCs w:val="24"/>
        </w:rPr>
      </w:pPr>
      <w:r>
        <w:rPr>
          <w:rFonts w:hint="eastAsia" w:cs="仿宋_GB2312"/>
          <w:b/>
          <w:bCs/>
          <w:color w:val="auto"/>
          <w:sz w:val="24"/>
          <w:szCs w:val="24"/>
        </w:rPr>
        <w:t>文件编号：</w:t>
      </w:r>
      <w:r>
        <w:rPr>
          <w:rFonts w:hint="eastAsia" w:cs="仿宋_GB2312"/>
          <w:b w:val="0"/>
          <w:bCs w:val="0"/>
          <w:color w:val="auto"/>
          <w:sz w:val="24"/>
          <w:szCs w:val="24"/>
          <w:lang w:val="en-US" w:eastAsia="zh-CN"/>
        </w:rPr>
        <w:t>SXMJZB-20241110</w:t>
      </w:r>
    </w:p>
    <w:p w14:paraId="5DB6A94E">
      <w:pPr>
        <w:pStyle w:val="17"/>
        <w:widowControl w:val="0"/>
        <w:numPr>
          <w:ilvl w:val="0"/>
          <w:numId w:val="1"/>
        </w:numPr>
        <w:adjustRightInd w:val="0"/>
        <w:snapToGrid w:val="0"/>
        <w:spacing w:before="0" w:beforeAutospacing="0" w:after="0" w:afterAutospacing="0" w:line="360" w:lineRule="auto"/>
        <w:ind w:firstLine="482" w:firstLineChars="200"/>
        <w:rPr>
          <w:rFonts w:hint="eastAsia" w:cs="仿宋_GB2312"/>
          <w:b/>
          <w:bCs/>
          <w:color w:val="auto"/>
          <w:sz w:val="24"/>
          <w:szCs w:val="24"/>
        </w:rPr>
      </w:pPr>
      <w:r>
        <w:rPr>
          <w:rFonts w:hint="eastAsia" w:cs="仿宋_GB2312"/>
          <w:b/>
          <w:bCs/>
          <w:color w:val="auto"/>
          <w:sz w:val="24"/>
          <w:szCs w:val="24"/>
        </w:rPr>
        <w:t>采购单位：</w:t>
      </w:r>
      <w:r>
        <w:rPr>
          <w:b w:val="0"/>
          <w:bCs w:val="0"/>
          <w:color w:val="auto"/>
          <w:sz w:val="24"/>
          <w:szCs w:val="24"/>
        </w:rPr>
        <w:t>山西煤机装备制造有限责任公司</w:t>
      </w:r>
    </w:p>
    <w:p w14:paraId="5F446967">
      <w:pPr>
        <w:pStyle w:val="17"/>
        <w:widowControl w:val="0"/>
        <w:numPr>
          <w:ilvl w:val="0"/>
          <w:numId w:val="1"/>
        </w:numPr>
        <w:adjustRightInd w:val="0"/>
        <w:snapToGrid w:val="0"/>
        <w:spacing w:before="0" w:beforeAutospacing="0" w:after="0" w:afterAutospacing="0" w:line="360" w:lineRule="auto"/>
        <w:ind w:left="0" w:leftChars="0" w:firstLine="482" w:firstLineChars="200"/>
        <w:rPr>
          <w:rFonts w:hint="eastAsia" w:cs="仿宋_GB2312"/>
          <w:b w:val="0"/>
          <w:bCs w:val="0"/>
          <w:color w:val="auto"/>
          <w:sz w:val="24"/>
          <w:szCs w:val="24"/>
        </w:rPr>
      </w:pPr>
      <w:r>
        <w:rPr>
          <w:rFonts w:hint="eastAsia" w:cs="仿宋_GB2312"/>
          <w:b/>
          <w:bCs/>
          <w:color w:val="auto"/>
          <w:sz w:val="24"/>
          <w:szCs w:val="24"/>
        </w:rPr>
        <w:t>谈判项目：</w:t>
      </w:r>
      <w:r>
        <w:rPr>
          <w:rFonts w:hint="eastAsia" w:cs="仿宋_GB2312"/>
          <w:b w:val="0"/>
          <w:bCs w:val="0"/>
          <w:color w:val="auto"/>
          <w:sz w:val="24"/>
          <w:szCs w:val="24"/>
          <w:lang w:val="en-US" w:eastAsia="zh-CN"/>
        </w:rPr>
        <w:t>智慧</w:t>
      </w:r>
      <w:r>
        <w:rPr>
          <w:rFonts w:hint="eastAsia" w:cs="仿宋_GB2312"/>
          <w:b w:val="0"/>
          <w:bCs w:val="0"/>
          <w:color w:val="auto"/>
          <w:sz w:val="24"/>
          <w:szCs w:val="24"/>
        </w:rPr>
        <w:t>园区</w:t>
      </w:r>
      <w:r>
        <w:rPr>
          <w:rFonts w:hint="eastAsia" w:cs="仿宋_GB2312"/>
          <w:b w:val="0"/>
          <w:bCs w:val="0"/>
          <w:color w:val="auto"/>
          <w:sz w:val="24"/>
          <w:szCs w:val="24"/>
          <w:lang w:val="en-US" w:eastAsia="zh-CN"/>
        </w:rPr>
        <w:t>办公楼楼体发光字</w:t>
      </w:r>
      <w:r>
        <w:rPr>
          <w:rFonts w:hint="eastAsia" w:cs="仿宋_GB2312"/>
          <w:b w:val="0"/>
          <w:bCs w:val="0"/>
          <w:color w:val="auto"/>
          <w:sz w:val="24"/>
          <w:szCs w:val="24"/>
        </w:rPr>
        <w:t>采购及安装</w:t>
      </w:r>
    </w:p>
    <w:p w14:paraId="09FB2A39">
      <w:pPr>
        <w:pStyle w:val="17"/>
        <w:widowControl w:val="0"/>
        <w:numPr>
          <w:ilvl w:val="0"/>
          <w:numId w:val="1"/>
        </w:numPr>
        <w:adjustRightInd w:val="0"/>
        <w:snapToGrid w:val="0"/>
        <w:spacing w:before="0" w:beforeAutospacing="0" w:after="0" w:afterAutospacing="0" w:line="360" w:lineRule="auto"/>
        <w:ind w:left="0" w:leftChars="0" w:firstLine="482" w:firstLineChars="200"/>
        <w:rPr>
          <w:rFonts w:hint="default" w:cs="仿宋_GB2312"/>
          <w:b w:val="0"/>
          <w:bCs w:val="0"/>
          <w:color w:val="auto"/>
          <w:sz w:val="24"/>
          <w:szCs w:val="24"/>
          <w:lang w:val="en-US" w:eastAsia="zh-CN"/>
        </w:rPr>
      </w:pPr>
      <w:r>
        <w:rPr>
          <w:rFonts w:hint="eastAsia" w:cs="仿宋_GB2312"/>
          <w:b/>
          <w:bCs/>
          <w:color w:val="auto"/>
          <w:sz w:val="24"/>
          <w:szCs w:val="24"/>
          <w:lang w:val="en-US" w:eastAsia="zh-CN"/>
        </w:rPr>
        <w:t>采购安装地点：</w:t>
      </w:r>
      <w:r>
        <w:rPr>
          <w:rFonts w:hint="eastAsia" w:cs="仿宋_GB2312"/>
          <w:b w:val="0"/>
          <w:bCs w:val="0"/>
          <w:color w:val="auto"/>
          <w:sz w:val="24"/>
          <w:szCs w:val="24"/>
          <w:lang w:val="en-US" w:eastAsia="zh-CN"/>
        </w:rPr>
        <w:t>山西综改示范区唐槐园区西贾北街79号</w:t>
      </w:r>
    </w:p>
    <w:p w14:paraId="19E9EC74">
      <w:pPr>
        <w:pStyle w:val="17"/>
        <w:widowControl w:val="0"/>
        <w:adjustRightInd w:val="0"/>
        <w:snapToGrid w:val="0"/>
        <w:spacing w:before="0" w:beforeAutospacing="0" w:after="0" w:afterAutospacing="0" w:line="360" w:lineRule="auto"/>
        <w:ind w:firstLine="482" w:firstLineChars="200"/>
        <w:rPr>
          <w:color w:val="auto"/>
        </w:rPr>
      </w:pPr>
      <w:r>
        <w:rPr>
          <w:rFonts w:hint="eastAsia" w:cs="仿宋_GB2312"/>
          <w:b/>
          <w:color w:val="auto"/>
          <w:sz w:val="24"/>
          <w:szCs w:val="24"/>
          <w:lang w:val="en-US" w:eastAsia="zh-CN"/>
        </w:rPr>
        <w:t>5</w:t>
      </w:r>
      <w:r>
        <w:rPr>
          <w:rFonts w:hint="eastAsia" w:cs="仿宋_GB2312"/>
          <w:b/>
          <w:color w:val="auto"/>
          <w:sz w:val="24"/>
          <w:szCs w:val="24"/>
        </w:rPr>
        <w:t>、谈判物资一览表：</w:t>
      </w:r>
      <w:r>
        <w:rPr>
          <w:color w:val="auto"/>
        </w:rPr>
        <w:t xml:space="preserve"> </w:t>
      </w:r>
    </w:p>
    <w:tbl>
      <w:tblPr>
        <w:tblStyle w:val="19"/>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2719"/>
        <w:gridCol w:w="1976"/>
        <w:gridCol w:w="824"/>
        <w:gridCol w:w="1072"/>
        <w:gridCol w:w="2021"/>
      </w:tblGrid>
      <w:tr w14:paraId="7DD53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710" w:type="dxa"/>
            <w:noWrap w:val="0"/>
            <w:vAlign w:val="center"/>
          </w:tcPr>
          <w:p w14:paraId="4DB4BD30">
            <w:pPr>
              <w:pStyle w:val="17"/>
              <w:adjustRightInd w:val="0"/>
              <w:snapToGrid w:val="0"/>
              <w:spacing w:line="360" w:lineRule="auto"/>
              <w:rPr>
                <w:rFonts w:hint="eastAsia" w:cs="仿宋_GB2312"/>
                <w:b/>
                <w:bCs/>
                <w:color w:val="auto"/>
                <w:sz w:val="24"/>
              </w:rPr>
            </w:pPr>
            <w:r>
              <w:rPr>
                <w:rFonts w:hint="eastAsia" w:cs="仿宋_GB2312"/>
                <w:b/>
                <w:bCs/>
                <w:color w:val="auto"/>
                <w:sz w:val="24"/>
              </w:rPr>
              <w:t>序号</w:t>
            </w:r>
          </w:p>
        </w:tc>
        <w:tc>
          <w:tcPr>
            <w:tcW w:w="2719" w:type="dxa"/>
            <w:noWrap w:val="0"/>
            <w:vAlign w:val="center"/>
          </w:tcPr>
          <w:p w14:paraId="0AA8EC4E">
            <w:pPr>
              <w:pStyle w:val="17"/>
              <w:adjustRightInd w:val="0"/>
              <w:snapToGrid w:val="0"/>
              <w:spacing w:line="360" w:lineRule="auto"/>
              <w:jc w:val="center"/>
              <w:rPr>
                <w:rFonts w:hint="eastAsia" w:cs="仿宋_GB2312"/>
                <w:b/>
                <w:bCs/>
                <w:color w:val="auto"/>
                <w:sz w:val="24"/>
              </w:rPr>
            </w:pPr>
            <w:r>
              <w:rPr>
                <w:rFonts w:hint="eastAsia" w:cs="仿宋_GB2312"/>
                <w:b/>
                <w:bCs/>
                <w:color w:val="auto"/>
                <w:sz w:val="24"/>
              </w:rPr>
              <w:t>项目名称</w:t>
            </w:r>
          </w:p>
        </w:tc>
        <w:tc>
          <w:tcPr>
            <w:tcW w:w="1976" w:type="dxa"/>
            <w:noWrap w:val="0"/>
            <w:vAlign w:val="center"/>
          </w:tcPr>
          <w:p w14:paraId="003422CB">
            <w:pPr>
              <w:pStyle w:val="17"/>
              <w:adjustRightInd w:val="0"/>
              <w:snapToGrid w:val="0"/>
              <w:spacing w:line="360" w:lineRule="auto"/>
              <w:jc w:val="center"/>
              <w:rPr>
                <w:rFonts w:hint="eastAsia" w:cs="仿宋_GB2312"/>
                <w:b/>
                <w:bCs/>
                <w:color w:val="auto"/>
                <w:sz w:val="24"/>
              </w:rPr>
            </w:pPr>
            <w:r>
              <w:rPr>
                <w:rFonts w:hint="eastAsia" w:cs="仿宋_GB2312"/>
                <w:b/>
                <w:bCs/>
                <w:color w:val="auto"/>
                <w:sz w:val="24"/>
              </w:rPr>
              <w:t>型号和规格</w:t>
            </w:r>
          </w:p>
        </w:tc>
        <w:tc>
          <w:tcPr>
            <w:tcW w:w="824" w:type="dxa"/>
            <w:noWrap w:val="0"/>
            <w:vAlign w:val="center"/>
          </w:tcPr>
          <w:p w14:paraId="1899187F">
            <w:pPr>
              <w:pStyle w:val="17"/>
              <w:adjustRightInd w:val="0"/>
              <w:snapToGrid w:val="0"/>
              <w:spacing w:line="360" w:lineRule="auto"/>
              <w:jc w:val="center"/>
              <w:rPr>
                <w:rFonts w:hint="eastAsia" w:cs="仿宋_GB2312"/>
                <w:b/>
                <w:bCs/>
                <w:color w:val="auto"/>
                <w:sz w:val="24"/>
              </w:rPr>
            </w:pPr>
            <w:r>
              <w:rPr>
                <w:rFonts w:hint="eastAsia" w:cs="仿宋_GB2312"/>
                <w:b/>
                <w:bCs/>
                <w:color w:val="auto"/>
                <w:sz w:val="24"/>
              </w:rPr>
              <w:t>数量</w:t>
            </w:r>
          </w:p>
        </w:tc>
        <w:tc>
          <w:tcPr>
            <w:tcW w:w="1072" w:type="dxa"/>
            <w:noWrap w:val="0"/>
            <w:vAlign w:val="center"/>
          </w:tcPr>
          <w:p w14:paraId="73FDE04E">
            <w:pPr>
              <w:pStyle w:val="17"/>
              <w:adjustRightInd w:val="0"/>
              <w:snapToGrid w:val="0"/>
              <w:spacing w:line="360" w:lineRule="auto"/>
              <w:jc w:val="center"/>
              <w:rPr>
                <w:rFonts w:hint="eastAsia" w:cs="仿宋_GB2312"/>
                <w:b/>
                <w:bCs/>
                <w:color w:val="auto"/>
                <w:sz w:val="24"/>
              </w:rPr>
            </w:pPr>
            <w:r>
              <w:rPr>
                <w:rFonts w:hint="eastAsia" w:cs="仿宋_GB2312"/>
                <w:b/>
                <w:bCs/>
                <w:color w:val="auto"/>
                <w:sz w:val="24"/>
              </w:rPr>
              <w:t>单位</w:t>
            </w:r>
          </w:p>
        </w:tc>
        <w:tc>
          <w:tcPr>
            <w:tcW w:w="2021" w:type="dxa"/>
            <w:noWrap w:val="0"/>
            <w:vAlign w:val="center"/>
          </w:tcPr>
          <w:p w14:paraId="4FAB8C5D">
            <w:pPr>
              <w:pStyle w:val="17"/>
              <w:adjustRightInd w:val="0"/>
              <w:snapToGrid w:val="0"/>
              <w:spacing w:line="360" w:lineRule="auto"/>
              <w:jc w:val="center"/>
              <w:rPr>
                <w:rFonts w:hint="eastAsia" w:cs="仿宋_GB2312"/>
                <w:b/>
                <w:bCs/>
                <w:color w:val="auto"/>
                <w:sz w:val="24"/>
              </w:rPr>
            </w:pPr>
            <w:r>
              <w:rPr>
                <w:rFonts w:hint="eastAsia" w:cs="仿宋_GB2312"/>
                <w:b/>
                <w:bCs/>
                <w:color w:val="auto"/>
                <w:sz w:val="24"/>
              </w:rPr>
              <w:t>备注</w:t>
            </w:r>
          </w:p>
        </w:tc>
      </w:tr>
      <w:tr w14:paraId="28E3C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710" w:type="dxa"/>
            <w:noWrap w:val="0"/>
            <w:vAlign w:val="center"/>
          </w:tcPr>
          <w:p w14:paraId="6192E69D">
            <w:pPr>
              <w:pStyle w:val="17"/>
              <w:adjustRightInd w:val="0"/>
              <w:snapToGrid w:val="0"/>
              <w:spacing w:line="360" w:lineRule="auto"/>
              <w:ind w:firstLine="240" w:firstLineChars="100"/>
              <w:rPr>
                <w:rFonts w:hint="eastAsia" w:cs="仿宋_GB2312"/>
                <w:b w:val="0"/>
                <w:bCs w:val="0"/>
                <w:color w:val="auto"/>
                <w:sz w:val="24"/>
              </w:rPr>
            </w:pPr>
            <w:r>
              <w:rPr>
                <w:rFonts w:hint="eastAsia" w:cs="仿宋_GB2312"/>
                <w:b w:val="0"/>
                <w:bCs w:val="0"/>
                <w:color w:val="auto"/>
                <w:sz w:val="24"/>
              </w:rPr>
              <w:t>1</w:t>
            </w:r>
          </w:p>
        </w:tc>
        <w:tc>
          <w:tcPr>
            <w:tcW w:w="2719" w:type="dxa"/>
            <w:noWrap w:val="0"/>
            <w:vAlign w:val="center"/>
          </w:tcPr>
          <w:p w14:paraId="748769D4">
            <w:pPr>
              <w:pStyle w:val="17"/>
              <w:adjustRightInd w:val="0"/>
              <w:snapToGrid w:val="0"/>
              <w:spacing w:line="360" w:lineRule="auto"/>
              <w:jc w:val="center"/>
              <w:rPr>
                <w:rFonts w:hint="default" w:cs="仿宋_GB2312"/>
                <w:b w:val="0"/>
                <w:bCs w:val="0"/>
                <w:color w:val="auto"/>
                <w:sz w:val="24"/>
                <w:lang w:val="en-US" w:eastAsia="zh-CN"/>
              </w:rPr>
            </w:pPr>
            <w:r>
              <w:rPr>
                <w:rFonts w:hint="eastAsia" w:cs="仿宋_GB2312"/>
                <w:b w:val="0"/>
                <w:bCs w:val="0"/>
                <w:color w:val="auto"/>
                <w:sz w:val="24"/>
                <w:lang w:val="en-US" w:eastAsia="zh-CN"/>
              </w:rPr>
              <w:t>园区办公楼楼体发光字</w:t>
            </w:r>
          </w:p>
        </w:tc>
        <w:tc>
          <w:tcPr>
            <w:tcW w:w="1976" w:type="dxa"/>
            <w:noWrap w:val="0"/>
            <w:vAlign w:val="center"/>
          </w:tcPr>
          <w:p w14:paraId="3C5524E7">
            <w:pPr>
              <w:pStyle w:val="17"/>
              <w:adjustRightInd w:val="0"/>
              <w:snapToGrid w:val="0"/>
              <w:spacing w:line="360" w:lineRule="auto"/>
              <w:jc w:val="center"/>
              <w:rPr>
                <w:rFonts w:hint="eastAsia" w:cs="仿宋_GB2312"/>
                <w:b w:val="0"/>
                <w:bCs w:val="0"/>
                <w:color w:val="auto"/>
                <w:sz w:val="24"/>
              </w:rPr>
            </w:pPr>
            <w:r>
              <w:rPr>
                <w:rFonts w:hint="eastAsia" w:cs="仿宋_GB2312"/>
                <w:b w:val="0"/>
                <w:bCs w:val="0"/>
                <w:color w:val="auto"/>
                <w:sz w:val="24"/>
              </w:rPr>
              <w:t xml:space="preserve">附（技术要求） </w:t>
            </w:r>
          </w:p>
        </w:tc>
        <w:tc>
          <w:tcPr>
            <w:tcW w:w="824" w:type="dxa"/>
            <w:noWrap w:val="0"/>
            <w:vAlign w:val="center"/>
          </w:tcPr>
          <w:p w14:paraId="7FACB053">
            <w:pPr>
              <w:pStyle w:val="17"/>
              <w:adjustRightInd w:val="0"/>
              <w:snapToGrid w:val="0"/>
              <w:spacing w:line="360" w:lineRule="auto"/>
              <w:jc w:val="center"/>
              <w:rPr>
                <w:rFonts w:hint="eastAsia" w:cs="仿宋_GB2312"/>
                <w:b w:val="0"/>
                <w:bCs w:val="0"/>
                <w:color w:val="auto"/>
                <w:sz w:val="24"/>
              </w:rPr>
            </w:pPr>
            <w:r>
              <w:rPr>
                <w:rFonts w:hint="eastAsia" w:cs="仿宋_GB2312"/>
                <w:b w:val="0"/>
                <w:bCs w:val="0"/>
                <w:color w:val="auto"/>
                <w:sz w:val="24"/>
              </w:rPr>
              <w:t>1</w:t>
            </w:r>
          </w:p>
        </w:tc>
        <w:tc>
          <w:tcPr>
            <w:tcW w:w="1072" w:type="dxa"/>
            <w:noWrap w:val="0"/>
            <w:vAlign w:val="center"/>
          </w:tcPr>
          <w:p w14:paraId="3B7DD3DE">
            <w:pPr>
              <w:pStyle w:val="17"/>
              <w:adjustRightInd w:val="0"/>
              <w:snapToGrid w:val="0"/>
              <w:spacing w:line="360" w:lineRule="auto"/>
              <w:jc w:val="center"/>
              <w:rPr>
                <w:rFonts w:hint="eastAsia" w:cs="仿宋_GB2312"/>
                <w:b w:val="0"/>
                <w:bCs w:val="0"/>
                <w:color w:val="auto"/>
                <w:sz w:val="24"/>
                <w:lang w:val="en-US" w:eastAsia="zh-CN"/>
              </w:rPr>
            </w:pPr>
            <w:r>
              <w:rPr>
                <w:rFonts w:hint="eastAsia" w:cs="仿宋_GB2312"/>
                <w:b w:val="0"/>
                <w:bCs w:val="0"/>
                <w:color w:val="auto"/>
                <w:sz w:val="24"/>
                <w:lang w:val="en-US" w:eastAsia="zh-CN"/>
              </w:rPr>
              <w:t>项</w:t>
            </w:r>
          </w:p>
        </w:tc>
        <w:tc>
          <w:tcPr>
            <w:tcW w:w="2021" w:type="dxa"/>
            <w:noWrap w:val="0"/>
            <w:vAlign w:val="center"/>
          </w:tcPr>
          <w:p w14:paraId="271F3C46">
            <w:pPr>
              <w:pStyle w:val="17"/>
              <w:adjustRightInd w:val="0"/>
              <w:snapToGrid w:val="0"/>
              <w:spacing w:line="360" w:lineRule="auto"/>
              <w:jc w:val="center"/>
              <w:rPr>
                <w:rFonts w:hint="eastAsia" w:cs="仿宋_GB2312"/>
                <w:b/>
                <w:bCs/>
                <w:color w:val="auto"/>
                <w:sz w:val="24"/>
              </w:rPr>
            </w:pPr>
            <w:r>
              <w:rPr>
                <w:rFonts w:hint="eastAsia" w:cs="仿宋_GB2312"/>
                <w:b/>
                <w:bCs/>
                <w:color w:val="auto"/>
                <w:sz w:val="24"/>
              </w:rPr>
              <w:t xml:space="preserve"> </w:t>
            </w:r>
          </w:p>
        </w:tc>
      </w:tr>
      <w:tr w14:paraId="7D827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710" w:type="dxa"/>
            <w:noWrap w:val="0"/>
            <w:vAlign w:val="center"/>
          </w:tcPr>
          <w:p w14:paraId="425E063C">
            <w:pPr>
              <w:pStyle w:val="17"/>
              <w:adjustRightInd w:val="0"/>
              <w:snapToGrid w:val="0"/>
              <w:spacing w:line="360" w:lineRule="auto"/>
              <w:ind w:firstLine="240" w:firstLineChars="100"/>
              <w:rPr>
                <w:rFonts w:hint="eastAsia" w:eastAsia="宋体" w:cs="仿宋_GB2312"/>
                <w:b w:val="0"/>
                <w:bCs w:val="0"/>
                <w:color w:val="auto"/>
                <w:sz w:val="24"/>
                <w:lang w:val="en-US" w:eastAsia="zh-CN"/>
              </w:rPr>
            </w:pPr>
            <w:r>
              <w:rPr>
                <w:rFonts w:hint="eastAsia" w:cs="仿宋_GB2312"/>
                <w:b w:val="0"/>
                <w:bCs w:val="0"/>
                <w:color w:val="auto"/>
                <w:sz w:val="24"/>
                <w:lang w:val="en-US" w:eastAsia="zh-CN"/>
              </w:rPr>
              <w:t>2</w:t>
            </w:r>
          </w:p>
        </w:tc>
        <w:tc>
          <w:tcPr>
            <w:tcW w:w="2719" w:type="dxa"/>
            <w:noWrap w:val="0"/>
            <w:vAlign w:val="center"/>
          </w:tcPr>
          <w:p w14:paraId="3E9EA059">
            <w:pPr>
              <w:pStyle w:val="17"/>
              <w:adjustRightInd w:val="0"/>
              <w:snapToGrid w:val="0"/>
              <w:spacing w:line="360" w:lineRule="auto"/>
              <w:jc w:val="center"/>
              <w:rPr>
                <w:rFonts w:hint="default" w:cs="仿宋_GB2312"/>
                <w:b w:val="0"/>
                <w:bCs w:val="0"/>
                <w:color w:val="auto"/>
                <w:sz w:val="24"/>
                <w:lang w:val="en-US" w:eastAsia="zh-CN"/>
              </w:rPr>
            </w:pPr>
            <w:r>
              <w:rPr>
                <w:rFonts w:hint="eastAsia" w:cs="仿宋_GB2312"/>
                <w:b w:val="0"/>
                <w:bCs w:val="0"/>
                <w:color w:val="auto"/>
                <w:sz w:val="24"/>
                <w:lang w:val="en-US" w:eastAsia="zh-CN"/>
              </w:rPr>
              <w:t>园区正门公司logo标识</w:t>
            </w:r>
          </w:p>
        </w:tc>
        <w:tc>
          <w:tcPr>
            <w:tcW w:w="1976" w:type="dxa"/>
            <w:shd w:val="clear" w:color="auto" w:fill="auto"/>
            <w:noWrap w:val="0"/>
            <w:vAlign w:val="center"/>
          </w:tcPr>
          <w:p w14:paraId="69258ACA">
            <w:pPr>
              <w:pStyle w:val="17"/>
              <w:adjustRightInd w:val="0"/>
              <w:snapToGrid w:val="0"/>
              <w:spacing w:line="360" w:lineRule="auto"/>
              <w:jc w:val="center"/>
              <w:rPr>
                <w:rFonts w:hint="eastAsia" w:ascii="宋体" w:hAnsi="宋体" w:eastAsia="宋体" w:cs="仿宋_GB2312"/>
                <w:b w:val="0"/>
                <w:bCs w:val="0"/>
                <w:color w:val="auto"/>
                <w:kern w:val="0"/>
                <w:sz w:val="24"/>
                <w:szCs w:val="18"/>
                <w:lang w:val="en-US" w:eastAsia="zh-CN" w:bidi="ar-SA"/>
              </w:rPr>
            </w:pPr>
            <w:r>
              <w:rPr>
                <w:rFonts w:hint="eastAsia" w:cs="仿宋_GB2312"/>
                <w:b w:val="0"/>
                <w:bCs w:val="0"/>
                <w:color w:val="auto"/>
                <w:sz w:val="24"/>
              </w:rPr>
              <w:t xml:space="preserve">附（技术要求） </w:t>
            </w:r>
          </w:p>
        </w:tc>
        <w:tc>
          <w:tcPr>
            <w:tcW w:w="824" w:type="dxa"/>
            <w:shd w:val="clear" w:color="auto" w:fill="auto"/>
            <w:noWrap w:val="0"/>
            <w:vAlign w:val="center"/>
          </w:tcPr>
          <w:p w14:paraId="0322DDB6">
            <w:pPr>
              <w:pStyle w:val="17"/>
              <w:adjustRightInd w:val="0"/>
              <w:snapToGrid w:val="0"/>
              <w:spacing w:line="360" w:lineRule="auto"/>
              <w:jc w:val="center"/>
              <w:rPr>
                <w:rFonts w:hint="eastAsia" w:ascii="宋体" w:hAnsi="宋体" w:eastAsia="宋体" w:cs="仿宋_GB2312"/>
                <w:b w:val="0"/>
                <w:bCs w:val="0"/>
                <w:color w:val="auto"/>
                <w:kern w:val="0"/>
                <w:sz w:val="24"/>
                <w:szCs w:val="18"/>
                <w:lang w:val="en-US" w:eastAsia="zh-CN" w:bidi="ar-SA"/>
              </w:rPr>
            </w:pPr>
            <w:r>
              <w:rPr>
                <w:rFonts w:hint="eastAsia" w:cs="仿宋_GB2312"/>
                <w:b w:val="0"/>
                <w:bCs w:val="0"/>
                <w:color w:val="auto"/>
                <w:sz w:val="24"/>
              </w:rPr>
              <w:t>1</w:t>
            </w:r>
          </w:p>
        </w:tc>
        <w:tc>
          <w:tcPr>
            <w:tcW w:w="1072" w:type="dxa"/>
            <w:shd w:val="clear" w:color="auto" w:fill="auto"/>
            <w:noWrap w:val="0"/>
            <w:vAlign w:val="center"/>
          </w:tcPr>
          <w:p w14:paraId="2CB51064">
            <w:pPr>
              <w:pStyle w:val="17"/>
              <w:adjustRightInd w:val="0"/>
              <w:snapToGrid w:val="0"/>
              <w:spacing w:line="360" w:lineRule="auto"/>
              <w:jc w:val="center"/>
              <w:rPr>
                <w:rFonts w:hint="eastAsia" w:ascii="宋体" w:hAnsi="宋体" w:eastAsia="宋体" w:cs="仿宋_GB2312"/>
                <w:b w:val="0"/>
                <w:bCs w:val="0"/>
                <w:color w:val="auto"/>
                <w:kern w:val="0"/>
                <w:sz w:val="24"/>
                <w:szCs w:val="18"/>
                <w:lang w:val="en-US" w:eastAsia="zh-CN" w:bidi="ar-SA"/>
              </w:rPr>
            </w:pPr>
            <w:r>
              <w:rPr>
                <w:rFonts w:hint="eastAsia" w:cs="仿宋_GB2312"/>
                <w:b w:val="0"/>
                <w:bCs w:val="0"/>
                <w:color w:val="auto"/>
                <w:sz w:val="24"/>
                <w:lang w:val="en-US" w:eastAsia="zh-CN"/>
              </w:rPr>
              <w:t>项</w:t>
            </w:r>
          </w:p>
        </w:tc>
        <w:tc>
          <w:tcPr>
            <w:tcW w:w="2021" w:type="dxa"/>
            <w:noWrap w:val="0"/>
            <w:vAlign w:val="center"/>
          </w:tcPr>
          <w:p w14:paraId="1F4DBDAE">
            <w:pPr>
              <w:pStyle w:val="17"/>
              <w:adjustRightInd w:val="0"/>
              <w:snapToGrid w:val="0"/>
              <w:spacing w:line="360" w:lineRule="auto"/>
              <w:jc w:val="center"/>
              <w:rPr>
                <w:rFonts w:hint="eastAsia" w:cs="仿宋_GB2312"/>
                <w:b/>
                <w:bCs/>
                <w:color w:val="auto"/>
                <w:sz w:val="24"/>
              </w:rPr>
            </w:pPr>
          </w:p>
        </w:tc>
      </w:tr>
    </w:tbl>
    <w:p w14:paraId="722898CF">
      <w:pPr>
        <w:pStyle w:val="17"/>
        <w:widowControl w:val="0"/>
        <w:tabs>
          <w:tab w:val="left" w:pos="366"/>
        </w:tabs>
        <w:adjustRightInd w:val="0"/>
        <w:snapToGrid w:val="0"/>
        <w:spacing w:before="156" w:beforeLines="50" w:beforeAutospacing="0" w:after="0" w:afterAutospacing="0" w:line="360" w:lineRule="auto"/>
        <w:ind w:firstLine="482" w:firstLineChars="200"/>
        <w:rPr>
          <w:rFonts w:cs="仿宋_GB2312"/>
          <w:b/>
          <w:bCs/>
          <w:color w:val="auto"/>
          <w:sz w:val="24"/>
          <w:szCs w:val="24"/>
        </w:rPr>
      </w:pPr>
      <w:r>
        <w:rPr>
          <w:rFonts w:hint="eastAsia" w:cs="仿宋_GB2312"/>
          <w:b/>
          <w:bCs/>
          <w:color w:val="auto"/>
          <w:sz w:val="24"/>
          <w:szCs w:val="24"/>
          <w:lang w:val="en-US" w:eastAsia="zh-CN"/>
        </w:rPr>
        <w:t>6</w:t>
      </w:r>
      <w:r>
        <w:rPr>
          <w:rFonts w:hint="eastAsia" w:cs="仿宋_GB2312"/>
          <w:b/>
          <w:bCs/>
          <w:color w:val="auto"/>
          <w:sz w:val="24"/>
          <w:szCs w:val="24"/>
        </w:rPr>
        <w:t>、招标范围</w:t>
      </w:r>
    </w:p>
    <w:p w14:paraId="6942E9EE">
      <w:pPr>
        <w:spacing w:line="360" w:lineRule="auto"/>
        <w:ind w:firstLine="480" w:firstLineChars="200"/>
        <w:jc w:val="left"/>
        <w:rPr>
          <w:color w:val="auto"/>
        </w:rPr>
      </w:pPr>
      <w:r>
        <w:rPr>
          <w:rFonts w:hint="eastAsia" w:ascii="宋体" w:hAnsi="宋体" w:cs="宋体"/>
          <w:color w:val="auto"/>
          <w:kern w:val="0"/>
          <w:sz w:val="24"/>
          <w:lang w:val="en-US" w:eastAsia="zh-CN"/>
        </w:rPr>
        <w:t>园区办公楼楼体外立面发光字及公司正门logo标识等</w:t>
      </w:r>
      <w:r>
        <w:rPr>
          <w:rFonts w:hint="eastAsia" w:ascii="宋体" w:hAnsi="宋体" w:cs="宋体"/>
          <w:color w:val="auto"/>
          <w:kern w:val="0"/>
          <w:sz w:val="24"/>
        </w:rPr>
        <w:t>设计优化、制造、供货、包装运输（包括装卸至指定地点）、安装、验收、培训、技术服务、售后服务等</w:t>
      </w:r>
      <w:r>
        <w:rPr>
          <w:rFonts w:hint="eastAsia" w:ascii="宋体" w:hAnsi="宋体"/>
          <w:color w:val="auto"/>
          <w:sz w:val="24"/>
        </w:rPr>
        <w:t>。</w:t>
      </w:r>
    </w:p>
    <w:p w14:paraId="261AA43D">
      <w:pPr>
        <w:pStyle w:val="17"/>
        <w:widowControl w:val="0"/>
        <w:tabs>
          <w:tab w:val="left" w:pos="366"/>
        </w:tabs>
        <w:adjustRightInd w:val="0"/>
        <w:snapToGrid w:val="0"/>
        <w:spacing w:before="0" w:beforeAutospacing="0" w:after="0" w:afterAutospacing="0" w:line="360" w:lineRule="auto"/>
        <w:ind w:firstLine="482" w:firstLineChars="200"/>
        <w:rPr>
          <w:rFonts w:cs="仿宋_GB2312"/>
          <w:b/>
          <w:bCs/>
          <w:color w:val="auto"/>
          <w:sz w:val="24"/>
          <w:szCs w:val="24"/>
        </w:rPr>
      </w:pPr>
      <w:r>
        <w:rPr>
          <w:rFonts w:hint="eastAsia" w:cs="仿宋_GB2312"/>
          <w:b/>
          <w:bCs/>
          <w:color w:val="auto"/>
          <w:sz w:val="24"/>
          <w:szCs w:val="24"/>
          <w:lang w:val="en-US" w:eastAsia="zh-CN"/>
        </w:rPr>
        <w:t>7</w:t>
      </w:r>
      <w:r>
        <w:rPr>
          <w:rFonts w:hint="eastAsia" w:cs="仿宋_GB2312"/>
          <w:b/>
          <w:bCs/>
          <w:color w:val="auto"/>
          <w:sz w:val="24"/>
          <w:szCs w:val="24"/>
        </w:rPr>
        <w:t>、投标人资格：</w:t>
      </w:r>
    </w:p>
    <w:p w14:paraId="1C81C539">
      <w:pPr>
        <w:spacing w:line="360" w:lineRule="auto"/>
        <w:ind w:firstLine="480" w:firstLineChars="200"/>
        <w:jc w:val="left"/>
        <w:rPr>
          <w:rFonts w:hint="eastAsia" w:ascii="宋体" w:hAnsi="宋体" w:cs="宋体"/>
          <w:color w:val="auto"/>
          <w:kern w:val="0"/>
          <w:sz w:val="24"/>
          <w:szCs w:val="24"/>
          <w:highlight w:val="none"/>
          <w:lang w:val="en-US" w:eastAsia="zh-CN" w:bidi="ar-SA"/>
        </w:rPr>
      </w:pPr>
      <w:r>
        <w:rPr>
          <w:rFonts w:hint="eastAsia" w:ascii="宋体" w:hAnsi="宋体" w:cs="宋体"/>
          <w:color w:val="auto"/>
          <w:kern w:val="0"/>
          <w:sz w:val="24"/>
          <w:lang w:val="en-US" w:eastAsia="zh-CN"/>
        </w:rPr>
        <w:t>（1）投标人</w:t>
      </w:r>
      <w:r>
        <w:rPr>
          <w:rFonts w:hint="eastAsia" w:ascii="宋体" w:hAnsi="宋体" w:eastAsia="宋体" w:cs="宋体"/>
          <w:color w:val="auto"/>
          <w:kern w:val="0"/>
          <w:sz w:val="24"/>
          <w:szCs w:val="24"/>
          <w:highlight w:val="none"/>
          <w:lang w:val="en-US" w:eastAsia="zh-CN" w:bidi="ar-SA"/>
        </w:rPr>
        <w:t>必须具备独立法人资格，</w:t>
      </w:r>
      <w:r>
        <w:rPr>
          <w:rFonts w:hint="eastAsia" w:ascii="宋体" w:hAnsi="宋体" w:cs="宋体"/>
          <w:color w:val="auto"/>
          <w:kern w:val="0"/>
          <w:sz w:val="24"/>
          <w:lang w:val="en-US" w:eastAsia="zh-CN"/>
        </w:rPr>
        <w:t>具有独立承担民事责任的能力；具有良好的商业信誉和健全的财务会计制度；具有履行合同所必需的设备和专业技术能力；有依法缴纳税收和社会保障资金的良好记录；</w:t>
      </w:r>
      <w:r>
        <w:rPr>
          <w:rFonts w:hint="eastAsia" w:ascii="宋体" w:hAnsi="宋体" w:eastAsia="宋体" w:cs="宋体"/>
          <w:color w:val="auto"/>
          <w:kern w:val="0"/>
          <w:sz w:val="24"/>
          <w:szCs w:val="24"/>
          <w:highlight w:val="none"/>
          <w:lang w:val="en-US" w:eastAsia="zh-CN" w:bidi="ar-SA"/>
        </w:rPr>
        <w:t>（证明材料复印件并加盖单位公章）</w:t>
      </w:r>
      <w:r>
        <w:rPr>
          <w:rFonts w:hint="eastAsia" w:ascii="宋体" w:hAnsi="宋体" w:cs="宋体"/>
          <w:color w:val="auto"/>
          <w:kern w:val="0"/>
          <w:sz w:val="24"/>
          <w:szCs w:val="24"/>
          <w:highlight w:val="none"/>
          <w:lang w:val="en-US" w:eastAsia="zh-CN" w:bidi="ar-SA"/>
        </w:rPr>
        <w:t>；</w:t>
      </w:r>
    </w:p>
    <w:p w14:paraId="1935D2F6">
      <w:pPr>
        <w:spacing w:line="360" w:lineRule="auto"/>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2）投标人自2020年1月1日以来（以合同签订时间为准），具有楼体发光字（发光字安装高度40米及以上）同类项目且合同金额人民币10万元及以上供货安装业绩（类似业绩指同为楼体发光字设计、制作、安装类的工程业绩，业绩证明材料：合同复印件、发票、验收单（验收单需加盖甲方公章）原件备查）；</w:t>
      </w:r>
    </w:p>
    <w:p w14:paraId="4364EB1C">
      <w:pPr>
        <w:spacing w:line="360" w:lineRule="auto"/>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（3）承担本项目的主要人员要求：高空作业人员需具备《高空作业证》；</w:t>
      </w:r>
    </w:p>
    <w:p w14:paraId="05A07AF8">
      <w:pPr>
        <w:spacing w:line="360" w:lineRule="auto"/>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（4）投标人未被“信用中国”（www.creditchina.gov.cn)、中国政府采购网（www.ccgp.gov.cn）列入失信被执行人、重大税收违法案件当事人名单、政府采购严重违法失信行为记录名单；</w:t>
      </w:r>
    </w:p>
    <w:p w14:paraId="19CD1D1D">
      <w:pPr>
        <w:spacing w:line="360" w:lineRule="auto"/>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（5）投标人能够直接和招标人签署合同，中标后不允许分包、转包（投标人须提供承诺函）。（格式及内容由投标人自拟并加盖公章）；</w:t>
      </w:r>
    </w:p>
    <w:p w14:paraId="1550FC79">
      <w:pPr>
        <w:pStyle w:val="17"/>
        <w:widowControl w:val="0"/>
        <w:adjustRightInd w:val="0"/>
        <w:snapToGrid w:val="0"/>
        <w:spacing w:before="0" w:beforeAutospacing="0" w:after="0" w:afterAutospacing="0"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cs="宋体"/>
          <w:color w:val="auto"/>
          <w:kern w:val="0"/>
          <w:sz w:val="24"/>
          <w:szCs w:val="24"/>
          <w:highlight w:val="none"/>
          <w:lang w:val="en-US" w:eastAsia="zh-CN" w:bidi="ar-SA"/>
        </w:rPr>
        <w:t>（6）</w:t>
      </w:r>
      <w:r>
        <w:rPr>
          <w:rFonts w:hint="eastAsia" w:ascii="宋体" w:hAnsi="宋体" w:eastAsia="宋体" w:cs="宋体"/>
          <w:color w:val="auto"/>
          <w:kern w:val="0"/>
          <w:sz w:val="24"/>
          <w:szCs w:val="24"/>
          <w:highlight w:val="none"/>
          <w:lang w:val="en-US" w:eastAsia="zh-CN" w:bidi="ar-SA"/>
        </w:rPr>
        <w:t>本项目实施资格后审，不接受联合体投标。</w:t>
      </w:r>
    </w:p>
    <w:p w14:paraId="3CBFD199">
      <w:pPr>
        <w:pStyle w:val="17"/>
        <w:widowControl w:val="0"/>
        <w:adjustRightInd w:val="0"/>
        <w:snapToGrid w:val="0"/>
        <w:spacing w:before="0" w:beforeAutospacing="0" w:after="0" w:afterAutospacing="0" w:line="360" w:lineRule="auto"/>
        <w:ind w:firstLine="482" w:firstLineChars="200"/>
        <w:rPr>
          <w:rFonts w:cs="仿宋_GB2312"/>
          <w:color w:val="auto"/>
          <w:sz w:val="24"/>
          <w:szCs w:val="24"/>
        </w:rPr>
      </w:pPr>
      <w:r>
        <w:rPr>
          <w:rFonts w:hint="eastAsia" w:cs="仿宋_GB2312"/>
          <w:b/>
          <w:color w:val="auto"/>
          <w:sz w:val="24"/>
          <w:szCs w:val="24"/>
        </w:rPr>
        <w:t>8、投标保证金：</w:t>
      </w:r>
      <w:r>
        <w:rPr>
          <w:rFonts w:hint="eastAsia" w:cs="仿宋_GB2312"/>
          <w:color w:val="auto"/>
          <w:sz w:val="24"/>
          <w:szCs w:val="24"/>
        </w:rPr>
        <w:t>投标人在递交投标文件时需向招标人交纳</w:t>
      </w:r>
      <w:r>
        <w:rPr>
          <w:rFonts w:hint="eastAsia" w:cs="仿宋_GB2312"/>
          <w:color w:val="auto"/>
          <w:sz w:val="24"/>
          <w:szCs w:val="24"/>
          <w:lang w:val="en-US" w:eastAsia="zh-CN"/>
        </w:rPr>
        <w:t>1</w:t>
      </w:r>
      <w:r>
        <w:rPr>
          <w:rFonts w:hint="eastAsia" w:cs="仿宋_GB2312"/>
          <w:color w:val="auto"/>
          <w:sz w:val="24"/>
          <w:szCs w:val="24"/>
        </w:rPr>
        <w:t>0000元（人民币）投标保证金。投标保证金可以是：电汇、网银。</w:t>
      </w:r>
      <w:r>
        <w:rPr>
          <w:rFonts w:cs="仿宋_GB2312"/>
          <w:color w:val="auto"/>
          <w:sz w:val="24"/>
          <w:szCs w:val="24"/>
        </w:rPr>
        <w:t>未提交投标保证金的投标，招标人有权将其视为无效投标。招标人宣布中标结果后，投标保证金将在15个工作日内无息退还。</w:t>
      </w:r>
    </w:p>
    <w:p w14:paraId="38D04D73">
      <w:pPr>
        <w:pStyle w:val="50"/>
        <w:widowControl/>
        <w:tabs>
          <w:tab w:val="left" w:pos="1060"/>
        </w:tabs>
        <w:spacing w:line="360" w:lineRule="auto"/>
        <w:ind w:firstLine="480" w:firstLineChars="200"/>
        <w:rPr>
          <w:rFonts w:hint="default" w:ascii="宋体" w:hAnsi="宋体" w:eastAsia="宋体" w:cs="宋体"/>
          <w:color w:val="auto"/>
          <w:sz w:val="24"/>
          <w:szCs w:val="24"/>
          <w:lang w:val="zh-TW"/>
        </w:rPr>
      </w:pPr>
      <w:r>
        <w:rPr>
          <w:rFonts w:ascii="宋体" w:hAnsi="宋体" w:eastAsia="宋体" w:cs="宋体"/>
          <w:color w:val="auto"/>
          <w:sz w:val="24"/>
          <w:szCs w:val="24"/>
          <w:lang w:val="zh-TW"/>
        </w:rPr>
        <w:t>保证金收款账户信息：</w:t>
      </w:r>
    </w:p>
    <w:p w14:paraId="04427061">
      <w:pPr>
        <w:pStyle w:val="50"/>
        <w:widowControl/>
        <w:tabs>
          <w:tab w:val="left" w:pos="1060"/>
        </w:tabs>
        <w:spacing w:line="360" w:lineRule="auto"/>
        <w:ind w:firstLine="480" w:firstLineChars="200"/>
        <w:rPr>
          <w:rFonts w:hint="default" w:ascii="宋体" w:hAnsi="宋体" w:eastAsia="宋体" w:cs="宋体"/>
          <w:color w:val="auto"/>
          <w:sz w:val="24"/>
          <w:szCs w:val="24"/>
          <w:lang w:val="zh-TW"/>
        </w:rPr>
      </w:pPr>
      <w:r>
        <w:rPr>
          <w:rFonts w:ascii="宋体" w:hAnsi="宋体" w:eastAsia="宋体" w:cs="宋体"/>
          <w:color w:val="auto"/>
          <w:sz w:val="24"/>
          <w:szCs w:val="24"/>
          <w:lang w:val="zh-TW"/>
        </w:rPr>
        <w:t>户名：</w:t>
      </w:r>
      <w:r>
        <w:rPr>
          <w:rFonts w:ascii="宋体" w:hAnsi="宋体" w:eastAsia="宋体" w:cs="宋体"/>
          <w:color w:val="auto"/>
          <w:kern w:val="0"/>
          <w:sz w:val="24"/>
          <w:szCs w:val="24"/>
        </w:rPr>
        <w:t>山西煤机装备制造有限责任公司</w:t>
      </w:r>
    </w:p>
    <w:p w14:paraId="789CDB19">
      <w:pPr>
        <w:pStyle w:val="50"/>
        <w:widowControl/>
        <w:tabs>
          <w:tab w:val="left" w:pos="1060"/>
        </w:tabs>
        <w:spacing w:line="360" w:lineRule="auto"/>
        <w:ind w:firstLine="480" w:firstLineChars="200"/>
        <w:rPr>
          <w:rFonts w:hint="default" w:ascii="宋体" w:hAnsi="宋体" w:eastAsia="宋体" w:cs="宋体"/>
          <w:color w:val="auto"/>
          <w:sz w:val="24"/>
          <w:szCs w:val="24"/>
          <w:lang w:val="zh-TW"/>
        </w:rPr>
      </w:pPr>
      <w:r>
        <w:rPr>
          <w:rFonts w:ascii="宋体" w:hAnsi="宋体" w:eastAsia="宋体" w:cs="宋体"/>
          <w:color w:val="auto"/>
          <w:sz w:val="24"/>
          <w:szCs w:val="24"/>
          <w:lang w:val="zh-TW"/>
        </w:rPr>
        <w:t>开户行：华夏银行股份有限公司太原经济技术开发区支行</w:t>
      </w:r>
    </w:p>
    <w:p w14:paraId="1BD2F554">
      <w:pPr>
        <w:pStyle w:val="50"/>
        <w:widowControl/>
        <w:tabs>
          <w:tab w:val="left" w:pos="1060"/>
        </w:tabs>
        <w:spacing w:line="360" w:lineRule="auto"/>
        <w:ind w:firstLine="480" w:firstLineChars="200"/>
        <w:rPr>
          <w:rFonts w:ascii="宋体" w:hAnsi="宋体" w:eastAsia="宋体" w:cs="宋体"/>
          <w:color w:val="auto"/>
          <w:sz w:val="24"/>
          <w:szCs w:val="24"/>
          <w:lang w:val="zh-TW" w:eastAsia="zh-TW"/>
        </w:rPr>
      </w:pPr>
      <w:r>
        <w:rPr>
          <w:rFonts w:ascii="宋体" w:hAnsi="宋体" w:eastAsia="宋体" w:cs="宋体"/>
          <w:color w:val="auto"/>
          <w:sz w:val="24"/>
          <w:szCs w:val="24"/>
          <w:lang w:val="zh-TW" w:eastAsia="zh-TW"/>
        </w:rPr>
        <w:t>账号：11769000000127363</w:t>
      </w:r>
    </w:p>
    <w:p w14:paraId="1D087EC5">
      <w:pPr>
        <w:pStyle w:val="17"/>
        <w:widowControl w:val="0"/>
        <w:adjustRightInd w:val="0"/>
        <w:snapToGrid w:val="0"/>
        <w:spacing w:before="0" w:beforeAutospacing="0" w:after="0" w:afterAutospacing="0" w:line="360" w:lineRule="auto"/>
        <w:ind w:firstLine="479" w:firstLineChars="199"/>
        <w:rPr>
          <w:rFonts w:hint="eastAsia" w:cs="仿宋_GB2312"/>
          <w:color w:val="auto"/>
          <w:sz w:val="24"/>
          <w:szCs w:val="24"/>
          <w:lang w:eastAsia="zh-TW"/>
        </w:rPr>
      </w:pPr>
      <w:r>
        <w:rPr>
          <w:rFonts w:hint="eastAsia" w:cs="仿宋_GB2312"/>
          <w:b/>
          <w:color w:val="auto"/>
          <w:sz w:val="24"/>
          <w:szCs w:val="24"/>
          <w:lang w:eastAsia="zh-TW"/>
        </w:rPr>
        <w:t>9、谈判文件获得：</w:t>
      </w:r>
      <w:r>
        <w:rPr>
          <w:rFonts w:hint="eastAsia" w:cs="仿宋_GB2312"/>
          <w:color w:val="auto"/>
          <w:sz w:val="24"/>
          <w:szCs w:val="24"/>
          <w:lang w:eastAsia="zh-TW"/>
        </w:rPr>
        <w:t>登录“http://www.sxmj.com/”或微信搜索公众号“山西煤机”在线下载采购文件。</w:t>
      </w:r>
    </w:p>
    <w:p w14:paraId="36E58C05">
      <w:pPr>
        <w:pStyle w:val="17"/>
        <w:widowControl w:val="0"/>
        <w:adjustRightInd w:val="0"/>
        <w:snapToGrid w:val="0"/>
        <w:spacing w:before="0" w:beforeAutospacing="0" w:after="0" w:afterAutospacing="0" w:line="360" w:lineRule="auto"/>
        <w:ind w:firstLine="482" w:firstLineChars="200"/>
        <w:rPr>
          <w:rFonts w:hint="default" w:eastAsia="宋体" w:cs="仿宋_GB2312"/>
          <w:color w:val="auto"/>
          <w:sz w:val="24"/>
          <w:lang w:val="en-US" w:eastAsia="zh-CN"/>
        </w:rPr>
      </w:pPr>
      <w:r>
        <w:rPr>
          <w:rFonts w:hint="eastAsia" w:cs="仿宋_GB2312"/>
          <w:b/>
          <w:color w:val="auto"/>
          <w:sz w:val="24"/>
        </w:rPr>
        <w:t>10、谈判文件递交地点:</w:t>
      </w:r>
      <w:r>
        <w:rPr>
          <w:rFonts w:hint="eastAsia" w:cs="仿宋_GB2312"/>
          <w:color w:val="auto"/>
          <w:sz w:val="24"/>
        </w:rPr>
        <w:t>山西省</w:t>
      </w:r>
      <w:r>
        <w:rPr>
          <w:rFonts w:hint="eastAsia" w:cs="仿宋_GB2312"/>
          <w:color w:val="auto"/>
          <w:sz w:val="24"/>
          <w:lang w:val="en-US" w:eastAsia="zh-CN"/>
        </w:rPr>
        <w:t>太原市综改区山西煤机装备制造有限责任公司办公室（办公楼六楼）。</w:t>
      </w:r>
    </w:p>
    <w:p w14:paraId="3479A5BE">
      <w:pPr>
        <w:pStyle w:val="17"/>
        <w:widowControl w:val="0"/>
        <w:adjustRightInd w:val="0"/>
        <w:snapToGrid w:val="0"/>
        <w:spacing w:before="0" w:beforeAutospacing="0" w:after="0" w:afterAutospacing="0" w:line="360" w:lineRule="auto"/>
        <w:ind w:firstLine="482" w:firstLineChars="200"/>
        <w:rPr>
          <w:rFonts w:hint="eastAsia" w:cs="仿宋_GB2312"/>
          <w:color w:val="auto"/>
          <w:sz w:val="24"/>
        </w:rPr>
      </w:pPr>
      <w:r>
        <w:rPr>
          <w:rFonts w:hint="eastAsia" w:cs="仿宋_GB2312"/>
          <w:b/>
          <w:color w:val="auto"/>
          <w:sz w:val="24"/>
        </w:rPr>
        <w:t>11、谈判文件递交截止时间</w:t>
      </w:r>
      <w:r>
        <w:rPr>
          <w:rFonts w:hint="eastAsia" w:cs="仿宋_GB2312"/>
          <w:b w:val="0"/>
          <w:bCs/>
          <w:color w:val="auto"/>
          <w:sz w:val="24"/>
          <w:u w:val="single"/>
          <w:lang w:val="en-US" w:eastAsia="zh-CN"/>
        </w:rPr>
        <w:t>2024</w:t>
      </w:r>
      <w:r>
        <w:rPr>
          <w:rFonts w:hint="eastAsia" w:cs="仿宋_GB2312"/>
          <w:b w:val="0"/>
          <w:bCs/>
          <w:color w:val="auto"/>
          <w:sz w:val="24"/>
        </w:rPr>
        <w:t>年</w:t>
      </w:r>
      <w:r>
        <w:rPr>
          <w:rFonts w:hint="eastAsia" w:cs="仿宋_GB2312"/>
          <w:b w:val="0"/>
          <w:bCs/>
          <w:color w:val="auto"/>
          <w:sz w:val="24"/>
          <w:u w:val="single"/>
          <w:lang w:val="en-US" w:eastAsia="zh-CN"/>
        </w:rPr>
        <w:t>11</w:t>
      </w:r>
      <w:r>
        <w:rPr>
          <w:rFonts w:hint="eastAsia" w:cs="仿宋_GB2312"/>
          <w:b w:val="0"/>
          <w:bCs/>
          <w:color w:val="auto"/>
          <w:sz w:val="24"/>
        </w:rPr>
        <w:t>月</w:t>
      </w:r>
      <w:r>
        <w:rPr>
          <w:rFonts w:hint="eastAsia" w:cs="仿宋_GB2312"/>
          <w:b w:val="0"/>
          <w:bCs/>
          <w:color w:val="auto"/>
          <w:sz w:val="24"/>
          <w:u w:val="single"/>
          <w:lang w:val="en-US" w:eastAsia="zh-CN"/>
        </w:rPr>
        <w:t>24</w:t>
      </w:r>
      <w:r>
        <w:rPr>
          <w:rFonts w:hint="eastAsia" w:cs="仿宋_GB2312"/>
          <w:b w:val="0"/>
          <w:bCs/>
          <w:color w:val="auto"/>
          <w:sz w:val="24"/>
        </w:rPr>
        <w:t>日</w:t>
      </w:r>
      <w:r>
        <w:rPr>
          <w:rFonts w:hint="eastAsia" w:cs="仿宋_GB2312"/>
          <w:color w:val="auto"/>
          <w:sz w:val="24"/>
          <w:u w:val="single"/>
          <w:lang w:val="en-US" w:eastAsia="zh-CN"/>
        </w:rPr>
        <w:t>17:00</w:t>
      </w:r>
      <w:r>
        <w:rPr>
          <w:rFonts w:hint="eastAsia" w:cs="仿宋_GB2312"/>
          <w:color w:val="auto"/>
          <w:sz w:val="24"/>
        </w:rPr>
        <w:t>。截止时间后递交的谈判文件将被拒绝。</w:t>
      </w:r>
    </w:p>
    <w:p w14:paraId="02F04BE3">
      <w:pPr>
        <w:pStyle w:val="17"/>
        <w:widowControl w:val="0"/>
        <w:adjustRightInd w:val="0"/>
        <w:snapToGrid w:val="0"/>
        <w:spacing w:before="0" w:beforeAutospacing="0" w:after="0" w:afterAutospacing="0" w:line="360" w:lineRule="auto"/>
        <w:ind w:firstLine="482" w:firstLineChars="200"/>
        <w:rPr>
          <w:rFonts w:hint="default" w:eastAsia="宋体" w:cs="仿宋_GB2312"/>
          <w:color w:val="auto"/>
          <w:sz w:val="24"/>
          <w:lang w:val="en-US" w:eastAsia="zh-CN"/>
        </w:rPr>
      </w:pPr>
      <w:r>
        <w:rPr>
          <w:rFonts w:hint="eastAsia" w:cs="仿宋_GB2312"/>
          <w:b/>
          <w:color w:val="auto"/>
          <w:sz w:val="24"/>
        </w:rPr>
        <w:t>12、谈判时间</w:t>
      </w:r>
      <w:r>
        <w:rPr>
          <w:rFonts w:hint="eastAsia" w:cs="仿宋_GB2312"/>
          <w:b/>
          <w:color w:val="auto"/>
          <w:sz w:val="24"/>
          <w:lang w:val="en-US" w:eastAsia="zh-CN"/>
        </w:rPr>
        <w:t>与地点</w:t>
      </w:r>
      <w:r>
        <w:rPr>
          <w:rFonts w:hint="eastAsia" w:cs="仿宋_GB2312"/>
          <w:b/>
          <w:color w:val="auto"/>
          <w:sz w:val="24"/>
        </w:rPr>
        <w:t>：</w:t>
      </w:r>
      <w:r>
        <w:rPr>
          <w:rFonts w:hint="eastAsia" w:cs="仿宋_GB2312"/>
          <w:color w:val="auto"/>
          <w:sz w:val="24"/>
          <w:lang w:val="en-US" w:eastAsia="zh-CN"/>
        </w:rPr>
        <w:t>2024</w:t>
      </w:r>
      <w:r>
        <w:rPr>
          <w:rFonts w:hint="eastAsia" w:cs="仿宋_GB2312"/>
          <w:color w:val="auto"/>
          <w:sz w:val="24"/>
        </w:rPr>
        <w:t>年</w:t>
      </w:r>
      <w:r>
        <w:rPr>
          <w:rFonts w:hint="eastAsia" w:cs="仿宋_GB2312"/>
          <w:color w:val="auto"/>
          <w:sz w:val="24"/>
          <w:lang w:val="en-US" w:eastAsia="zh-CN"/>
        </w:rPr>
        <w:t>11</w:t>
      </w:r>
      <w:r>
        <w:rPr>
          <w:rFonts w:hint="eastAsia" w:cs="仿宋_GB2312"/>
          <w:color w:val="auto"/>
          <w:sz w:val="24"/>
        </w:rPr>
        <w:t>月</w:t>
      </w:r>
      <w:r>
        <w:rPr>
          <w:rFonts w:hint="eastAsia" w:cs="仿宋_GB2312"/>
          <w:color w:val="auto"/>
          <w:sz w:val="24"/>
          <w:lang w:val="en-US" w:eastAsia="zh-CN"/>
        </w:rPr>
        <w:t>25</w:t>
      </w:r>
      <w:r>
        <w:rPr>
          <w:rFonts w:hint="eastAsia" w:cs="仿宋_GB2312"/>
          <w:color w:val="auto"/>
          <w:sz w:val="24"/>
        </w:rPr>
        <w:t>日</w:t>
      </w:r>
      <w:r>
        <w:rPr>
          <w:rFonts w:hint="eastAsia" w:cs="仿宋_GB2312"/>
          <w:color w:val="auto"/>
          <w:sz w:val="24"/>
          <w:lang w:val="en-US" w:eastAsia="zh-CN"/>
        </w:rPr>
        <w:t>上午9:00，</w:t>
      </w:r>
      <w:r>
        <w:rPr>
          <w:rFonts w:hint="eastAsia" w:cs="仿宋_GB2312"/>
          <w:color w:val="auto"/>
          <w:sz w:val="24"/>
        </w:rPr>
        <w:t>山西煤机</w:t>
      </w:r>
      <w:r>
        <w:rPr>
          <w:rFonts w:hint="eastAsia" w:cs="仿宋_GB2312"/>
          <w:color w:val="auto"/>
          <w:sz w:val="24"/>
          <w:lang w:val="en-US" w:eastAsia="zh-CN"/>
        </w:rPr>
        <w:t>装备</w:t>
      </w:r>
      <w:r>
        <w:rPr>
          <w:rFonts w:hint="eastAsia" w:cs="仿宋_GB2312"/>
          <w:color w:val="auto"/>
          <w:sz w:val="24"/>
        </w:rPr>
        <w:t>公司</w:t>
      </w:r>
      <w:r>
        <w:rPr>
          <w:rFonts w:hint="eastAsia" w:cs="仿宋_GB2312"/>
          <w:color w:val="auto"/>
          <w:sz w:val="24"/>
          <w:lang w:val="en-US" w:eastAsia="zh-CN"/>
        </w:rPr>
        <w:t>二楼会议室。</w:t>
      </w:r>
    </w:p>
    <w:p w14:paraId="07BC904C">
      <w:pPr>
        <w:pStyle w:val="17"/>
        <w:widowControl w:val="0"/>
        <w:adjustRightInd w:val="0"/>
        <w:snapToGrid w:val="0"/>
        <w:spacing w:before="0" w:beforeAutospacing="0" w:after="0" w:afterAutospacing="0" w:line="360" w:lineRule="auto"/>
        <w:ind w:firstLine="482" w:firstLineChars="200"/>
        <w:rPr>
          <w:rFonts w:hint="eastAsia" w:cs="仿宋_GB2312"/>
          <w:color w:val="auto"/>
          <w:sz w:val="24"/>
        </w:rPr>
      </w:pPr>
      <w:r>
        <w:rPr>
          <w:rFonts w:hint="eastAsia" w:cs="仿宋_GB2312"/>
          <w:b/>
          <w:color w:val="auto"/>
          <w:sz w:val="24"/>
        </w:rPr>
        <w:t>13、谈判方式：</w:t>
      </w:r>
      <w:r>
        <w:rPr>
          <w:rFonts w:hint="eastAsia" w:cs="仿宋_GB2312"/>
          <w:b/>
          <w:color w:val="auto"/>
          <w:sz w:val="24"/>
          <w:lang w:val="en-US" w:eastAsia="zh-CN"/>
        </w:rPr>
        <w:t>竞争性磋商谈判</w:t>
      </w:r>
      <w:r>
        <w:rPr>
          <w:rFonts w:hint="eastAsia" w:cs="仿宋_GB2312"/>
          <w:color w:val="auto"/>
          <w:sz w:val="24"/>
          <w:szCs w:val="24"/>
        </w:rPr>
        <w:t>。</w:t>
      </w:r>
    </w:p>
    <w:p w14:paraId="66B77DB5">
      <w:pPr>
        <w:spacing w:line="360" w:lineRule="auto"/>
        <w:ind w:firstLine="482" w:firstLineChars="200"/>
        <w:jc w:val="left"/>
        <w:rPr>
          <w:rFonts w:ascii="宋体" w:cs="宋体"/>
          <w:b/>
          <w:i/>
          <w:color w:val="auto"/>
          <w:kern w:val="0"/>
          <w:sz w:val="24"/>
        </w:rPr>
      </w:pPr>
      <w:r>
        <w:rPr>
          <w:rFonts w:hint="eastAsia" w:ascii="宋体" w:hAnsi="宋体" w:cs="宋体"/>
          <w:b/>
          <w:color w:val="auto"/>
          <w:kern w:val="0"/>
          <w:sz w:val="24"/>
        </w:rPr>
        <w:t>14、服务要求</w:t>
      </w:r>
    </w:p>
    <w:p w14:paraId="49804EDC">
      <w:pPr>
        <w:spacing w:line="360" w:lineRule="auto"/>
        <w:ind w:firstLine="480" w:firstLineChars="200"/>
        <w:rPr>
          <w:rFonts w:hint="eastAsia" w:ascii="宋体" w:hAnsi="宋体" w:cs="宋体"/>
          <w:bCs/>
          <w:iCs/>
          <w:color w:val="auto"/>
          <w:kern w:val="0"/>
          <w:sz w:val="24"/>
        </w:rPr>
      </w:pPr>
      <w:r>
        <w:rPr>
          <w:rFonts w:hint="eastAsia" w:ascii="宋体" w:hAnsi="宋体" w:cs="宋体"/>
          <w:bCs/>
          <w:iCs/>
          <w:color w:val="auto"/>
          <w:kern w:val="0"/>
          <w:sz w:val="24"/>
          <w:lang w:eastAsia="zh-CN"/>
        </w:rPr>
        <w:t>（</w:t>
      </w:r>
      <w:r>
        <w:rPr>
          <w:rFonts w:hint="eastAsia" w:ascii="宋体" w:hAnsi="宋体" w:cs="宋体"/>
          <w:bCs/>
          <w:iCs/>
          <w:color w:val="auto"/>
          <w:kern w:val="0"/>
          <w:sz w:val="24"/>
          <w:lang w:val="en-US" w:eastAsia="zh-CN"/>
        </w:rPr>
        <w:t>1</w:t>
      </w:r>
      <w:r>
        <w:rPr>
          <w:rFonts w:hint="eastAsia" w:ascii="宋体" w:hAnsi="宋体" w:cs="宋体"/>
          <w:bCs/>
          <w:iCs/>
          <w:color w:val="auto"/>
          <w:kern w:val="0"/>
          <w:sz w:val="24"/>
          <w:lang w:eastAsia="zh-CN"/>
        </w:rPr>
        <w:t>）</w:t>
      </w:r>
      <w:r>
        <w:rPr>
          <w:rFonts w:hint="eastAsia" w:ascii="宋体" w:hAnsi="宋体" w:cs="宋体"/>
          <w:bCs/>
          <w:iCs/>
          <w:color w:val="auto"/>
          <w:kern w:val="0"/>
          <w:sz w:val="24"/>
        </w:rPr>
        <w:t>售后服务：在发生使用方法不清楚或遇到使用问题时能及时提供回复。</w:t>
      </w:r>
    </w:p>
    <w:p w14:paraId="61E7A66E">
      <w:pPr>
        <w:spacing w:line="360" w:lineRule="auto"/>
        <w:ind w:firstLine="480" w:firstLineChars="200"/>
        <w:rPr>
          <w:rFonts w:hint="eastAsia" w:ascii="宋体" w:hAnsi="宋体" w:cs="宋体"/>
          <w:bCs/>
          <w:iCs/>
          <w:color w:val="auto"/>
          <w:kern w:val="0"/>
          <w:sz w:val="24"/>
        </w:rPr>
      </w:pPr>
      <w:r>
        <w:rPr>
          <w:rFonts w:hint="eastAsia" w:ascii="宋体" w:hAnsi="宋体" w:cs="宋体"/>
          <w:bCs/>
          <w:iCs/>
          <w:color w:val="auto"/>
          <w:kern w:val="0"/>
          <w:sz w:val="24"/>
          <w:lang w:eastAsia="zh-CN"/>
        </w:rPr>
        <w:t>（</w:t>
      </w:r>
      <w:r>
        <w:rPr>
          <w:rFonts w:hint="eastAsia" w:ascii="宋体" w:hAnsi="宋体" w:cs="宋体"/>
          <w:bCs/>
          <w:iCs/>
          <w:color w:val="auto"/>
          <w:kern w:val="0"/>
          <w:sz w:val="24"/>
          <w:lang w:val="en-US" w:eastAsia="zh-CN"/>
        </w:rPr>
        <w:t>2</w:t>
      </w:r>
      <w:r>
        <w:rPr>
          <w:rFonts w:hint="eastAsia" w:ascii="宋体" w:hAnsi="宋体" w:cs="宋体"/>
          <w:bCs/>
          <w:iCs/>
          <w:color w:val="auto"/>
          <w:kern w:val="0"/>
          <w:sz w:val="24"/>
          <w:lang w:eastAsia="zh-CN"/>
        </w:rPr>
        <w:t>）</w:t>
      </w:r>
      <w:r>
        <w:rPr>
          <w:rFonts w:hint="eastAsia" w:ascii="宋体" w:hAnsi="宋体" w:cs="宋体"/>
          <w:bCs/>
          <w:iCs/>
          <w:color w:val="auto"/>
          <w:kern w:val="0"/>
          <w:sz w:val="24"/>
        </w:rPr>
        <w:t>技术培训：对不少于3名的使用人的培训，在采购人最终用户现场进行为期3-5天的技术培训。培训内容包含但不限于货物的技术原理、操作流程、数据处理、设备基本维护，故障排除等。</w:t>
      </w:r>
    </w:p>
    <w:p w14:paraId="455AE997">
      <w:pPr>
        <w:spacing w:line="360" w:lineRule="auto"/>
        <w:ind w:firstLine="480" w:firstLineChars="200"/>
        <w:rPr>
          <w:rFonts w:ascii="宋体" w:cs="宋体"/>
          <w:bCs/>
          <w:iCs/>
          <w:color w:val="auto"/>
          <w:kern w:val="0"/>
          <w:sz w:val="24"/>
        </w:rPr>
      </w:pPr>
      <w:r>
        <w:rPr>
          <w:rFonts w:hint="eastAsia" w:ascii="宋体" w:hAnsi="宋体" w:cs="宋体"/>
          <w:bCs/>
          <w:iCs/>
          <w:color w:val="auto"/>
          <w:kern w:val="0"/>
          <w:sz w:val="24"/>
          <w:lang w:eastAsia="zh-CN"/>
        </w:rPr>
        <w:t>（</w:t>
      </w:r>
      <w:r>
        <w:rPr>
          <w:rFonts w:hint="eastAsia" w:ascii="宋体" w:hAnsi="宋体" w:cs="宋体"/>
          <w:bCs/>
          <w:iCs/>
          <w:color w:val="auto"/>
          <w:kern w:val="0"/>
          <w:sz w:val="24"/>
          <w:lang w:val="en-US" w:eastAsia="zh-CN"/>
        </w:rPr>
        <w:t>3</w:t>
      </w:r>
      <w:r>
        <w:rPr>
          <w:rFonts w:hint="eastAsia" w:ascii="宋体" w:hAnsi="宋体" w:cs="宋体"/>
          <w:bCs/>
          <w:iCs/>
          <w:color w:val="auto"/>
          <w:kern w:val="0"/>
          <w:sz w:val="24"/>
          <w:lang w:eastAsia="zh-CN"/>
        </w:rPr>
        <w:t>）</w:t>
      </w:r>
      <w:r>
        <w:rPr>
          <w:rFonts w:hint="eastAsia" w:ascii="宋体" w:hAnsi="宋体" w:cs="宋体"/>
          <w:bCs/>
          <w:iCs/>
          <w:color w:val="auto"/>
          <w:kern w:val="0"/>
          <w:sz w:val="24"/>
        </w:rPr>
        <w:t>质保期：</w:t>
      </w:r>
      <w:r>
        <w:rPr>
          <w:rFonts w:hint="eastAsia"/>
          <w:color w:val="auto"/>
          <w:kern w:val="0"/>
          <w:sz w:val="24"/>
        </w:rPr>
        <w:t>质量保证期为自安装调试验收合格后不少于</w:t>
      </w:r>
      <w:r>
        <w:rPr>
          <w:rFonts w:hint="eastAsia"/>
          <w:color w:val="auto"/>
          <w:kern w:val="0"/>
          <w:sz w:val="24"/>
          <w:lang w:val="en-US" w:eastAsia="zh-CN"/>
        </w:rPr>
        <w:t>5</w:t>
      </w:r>
      <w:r>
        <w:rPr>
          <w:rFonts w:hint="eastAsia"/>
          <w:color w:val="auto"/>
          <w:kern w:val="0"/>
          <w:sz w:val="24"/>
        </w:rPr>
        <w:t>年；</w:t>
      </w:r>
      <w:r>
        <w:rPr>
          <w:rFonts w:hint="eastAsia" w:ascii="宋体" w:hAnsi="宋体" w:cs="宋体"/>
          <w:bCs/>
          <w:iCs/>
          <w:color w:val="auto"/>
          <w:kern w:val="0"/>
          <w:sz w:val="24"/>
        </w:rPr>
        <w:t>凡属非使用不当出现的零部件损坏故障，供方将免费维修、更换。</w:t>
      </w:r>
    </w:p>
    <w:p w14:paraId="5F2611D1">
      <w:pPr>
        <w:spacing w:line="360" w:lineRule="auto"/>
        <w:ind w:firstLine="480" w:firstLineChars="200"/>
        <w:rPr>
          <w:rFonts w:ascii="宋体" w:cs="宋体"/>
          <w:bCs/>
          <w:iCs/>
          <w:color w:val="auto"/>
          <w:kern w:val="0"/>
          <w:sz w:val="24"/>
        </w:rPr>
      </w:pPr>
      <w:bookmarkStart w:id="0" w:name="_Hlk504156647"/>
      <w:r>
        <w:rPr>
          <w:rFonts w:hint="eastAsia" w:ascii="宋体" w:hAnsi="宋体" w:cs="宋体"/>
          <w:bCs/>
          <w:iCs/>
          <w:color w:val="auto"/>
          <w:kern w:val="0"/>
          <w:sz w:val="24"/>
          <w:lang w:eastAsia="zh-CN"/>
        </w:rPr>
        <w:t>（</w:t>
      </w:r>
      <w:r>
        <w:rPr>
          <w:rFonts w:hint="eastAsia" w:ascii="宋体" w:hAnsi="宋体" w:cs="宋体"/>
          <w:bCs/>
          <w:iCs/>
          <w:color w:val="auto"/>
          <w:kern w:val="0"/>
          <w:sz w:val="24"/>
          <w:lang w:val="en-US" w:eastAsia="zh-CN"/>
        </w:rPr>
        <w:t>4</w:t>
      </w:r>
      <w:r>
        <w:rPr>
          <w:rFonts w:hint="eastAsia" w:ascii="宋体" w:hAnsi="宋体" w:cs="宋体"/>
          <w:bCs/>
          <w:iCs/>
          <w:color w:val="auto"/>
          <w:kern w:val="0"/>
          <w:sz w:val="24"/>
          <w:lang w:eastAsia="zh-CN"/>
        </w:rPr>
        <w:t>）</w:t>
      </w:r>
      <w:r>
        <w:rPr>
          <w:rFonts w:hint="eastAsia" w:ascii="宋体" w:hAnsi="宋体" w:cs="宋体"/>
          <w:bCs/>
          <w:iCs/>
          <w:color w:val="auto"/>
          <w:kern w:val="0"/>
          <w:sz w:val="24"/>
        </w:rPr>
        <w:t>质保期内，提供</w:t>
      </w:r>
      <w:r>
        <w:rPr>
          <w:rFonts w:ascii="宋体" w:hAnsi="宋体" w:cs="宋体"/>
          <w:bCs/>
          <w:iCs/>
          <w:color w:val="auto"/>
          <w:kern w:val="0"/>
          <w:sz w:val="24"/>
        </w:rPr>
        <w:t>7</w:t>
      </w:r>
      <w:r>
        <w:rPr>
          <w:rFonts w:hint="eastAsia" w:ascii="宋体" w:hAnsi="宋体" w:cs="宋体"/>
          <w:bCs/>
          <w:iCs/>
          <w:color w:val="auto"/>
          <w:kern w:val="0"/>
          <w:sz w:val="24"/>
        </w:rPr>
        <w:t>×</w:t>
      </w:r>
      <w:r>
        <w:rPr>
          <w:rFonts w:ascii="宋体" w:hAnsi="宋体" w:cs="宋体"/>
          <w:bCs/>
          <w:iCs/>
          <w:color w:val="auto"/>
          <w:kern w:val="0"/>
          <w:sz w:val="24"/>
        </w:rPr>
        <w:t>24</w:t>
      </w:r>
      <w:r>
        <w:rPr>
          <w:rFonts w:hint="eastAsia" w:ascii="宋体" w:hAnsi="宋体" w:cs="宋体"/>
          <w:bCs/>
          <w:iCs/>
          <w:color w:val="auto"/>
          <w:kern w:val="0"/>
          <w:sz w:val="24"/>
        </w:rPr>
        <w:t>小时服务。中标人应对用户的服务要求作出响应，一般问题应在</w:t>
      </w:r>
      <w:r>
        <w:rPr>
          <w:rFonts w:ascii="宋体" w:hAnsi="宋体" w:cs="宋体"/>
          <w:bCs/>
          <w:iCs/>
          <w:color w:val="auto"/>
          <w:kern w:val="0"/>
          <w:sz w:val="24"/>
        </w:rPr>
        <w:t>48</w:t>
      </w:r>
      <w:r>
        <w:rPr>
          <w:rFonts w:hint="eastAsia" w:ascii="宋体" w:hAnsi="宋体" w:cs="宋体"/>
          <w:bCs/>
          <w:iCs/>
          <w:color w:val="auto"/>
          <w:kern w:val="0"/>
          <w:sz w:val="24"/>
        </w:rPr>
        <w:t>小时内解决，重大问题或其它无法迅速解决的问题应在</w:t>
      </w:r>
      <w:r>
        <w:rPr>
          <w:rFonts w:ascii="宋体" w:hAnsi="宋体" w:cs="宋体"/>
          <w:bCs/>
          <w:iCs/>
          <w:color w:val="auto"/>
          <w:kern w:val="0"/>
          <w:sz w:val="24"/>
        </w:rPr>
        <w:t>1</w:t>
      </w:r>
      <w:r>
        <w:rPr>
          <w:rFonts w:hint="eastAsia" w:ascii="宋体" w:hAnsi="宋体" w:cs="宋体"/>
          <w:bCs/>
          <w:iCs/>
          <w:color w:val="auto"/>
          <w:kern w:val="0"/>
          <w:sz w:val="24"/>
        </w:rPr>
        <w:t>周内解决或提出明确解决方案，否则中标人除承担相应违约责任外，应赔偿给采购人造成的经济损失。</w:t>
      </w:r>
      <w:bookmarkEnd w:id="0"/>
    </w:p>
    <w:p w14:paraId="1F34800C">
      <w:pPr>
        <w:spacing w:line="360" w:lineRule="auto"/>
        <w:ind w:firstLine="480" w:firstLineChars="200"/>
        <w:rPr>
          <w:rFonts w:hint="eastAsia" w:ascii="宋体" w:hAnsi="宋体" w:cs="宋体"/>
          <w:bCs/>
          <w:iCs/>
          <w:color w:val="auto"/>
          <w:kern w:val="0"/>
          <w:sz w:val="24"/>
        </w:rPr>
      </w:pPr>
      <w:r>
        <w:rPr>
          <w:rFonts w:hint="eastAsia" w:ascii="宋体" w:hAnsi="宋体" w:cs="宋体"/>
          <w:bCs/>
          <w:iCs/>
          <w:color w:val="auto"/>
          <w:kern w:val="0"/>
          <w:sz w:val="24"/>
          <w:lang w:eastAsia="zh-CN"/>
        </w:rPr>
        <w:t>（</w:t>
      </w:r>
      <w:r>
        <w:rPr>
          <w:rFonts w:hint="eastAsia" w:ascii="宋体" w:hAnsi="宋体" w:cs="宋体"/>
          <w:bCs/>
          <w:iCs/>
          <w:color w:val="auto"/>
          <w:kern w:val="0"/>
          <w:sz w:val="24"/>
          <w:lang w:val="en-US" w:eastAsia="zh-CN"/>
        </w:rPr>
        <w:t>5</w:t>
      </w:r>
      <w:r>
        <w:rPr>
          <w:rFonts w:hint="eastAsia" w:ascii="宋体" w:hAnsi="宋体" w:cs="宋体"/>
          <w:bCs/>
          <w:iCs/>
          <w:color w:val="auto"/>
          <w:kern w:val="0"/>
          <w:sz w:val="24"/>
          <w:lang w:eastAsia="zh-CN"/>
        </w:rPr>
        <w:t>）</w:t>
      </w:r>
      <w:r>
        <w:rPr>
          <w:rFonts w:hint="eastAsia" w:ascii="宋体" w:hAnsi="宋体" w:cs="宋体"/>
          <w:bCs/>
          <w:iCs/>
          <w:color w:val="auto"/>
          <w:kern w:val="0"/>
          <w:sz w:val="24"/>
        </w:rPr>
        <w:t>对所供货物实行终生维修、维护。质保期外如货物出现质量问题，货物的维修维护只收取零部件成本费。质保期外的维修在</w:t>
      </w:r>
      <w:r>
        <w:rPr>
          <w:rFonts w:ascii="宋体" w:hAnsi="宋体" w:cs="宋体"/>
          <w:bCs/>
          <w:iCs/>
          <w:color w:val="auto"/>
          <w:kern w:val="0"/>
          <w:sz w:val="24"/>
        </w:rPr>
        <w:t>6</w:t>
      </w:r>
      <w:r>
        <w:rPr>
          <w:rFonts w:hint="eastAsia" w:ascii="宋体" w:hAnsi="宋体" w:cs="宋体"/>
          <w:bCs/>
          <w:iCs/>
          <w:color w:val="auto"/>
          <w:kern w:val="0"/>
          <w:sz w:val="24"/>
        </w:rPr>
        <w:t>小时内进行响应，需要时，能够提供必要的上门有偿检测。</w:t>
      </w:r>
    </w:p>
    <w:p w14:paraId="52627D80">
      <w:pPr>
        <w:spacing w:line="360" w:lineRule="auto"/>
        <w:ind w:firstLine="482" w:firstLineChars="200"/>
        <w:jc w:val="left"/>
        <w:rPr>
          <w:rFonts w:hint="default" w:ascii="宋体" w:hAnsi="宋体" w:cs="宋体"/>
          <w:b/>
          <w:color w:val="auto"/>
          <w:kern w:val="0"/>
          <w:sz w:val="24"/>
          <w:lang w:val="en-US" w:eastAsia="zh-CN"/>
        </w:rPr>
      </w:pPr>
      <w:r>
        <w:rPr>
          <w:rFonts w:hint="eastAsia" w:ascii="宋体" w:hAnsi="宋体" w:cs="宋体"/>
          <w:b/>
          <w:color w:val="auto"/>
          <w:kern w:val="0"/>
          <w:sz w:val="24"/>
          <w:lang w:val="en-US" w:eastAsia="zh-CN"/>
        </w:rPr>
        <w:t>15、其他要求</w:t>
      </w:r>
    </w:p>
    <w:p w14:paraId="116E6863">
      <w:pPr>
        <w:spacing w:line="360" w:lineRule="auto"/>
        <w:ind w:firstLine="480" w:firstLineChars="200"/>
        <w:jc w:val="left"/>
        <w:rPr>
          <w:rFonts w:hint="eastAsia" w:ascii="宋体" w:hAnsi="宋体" w:cs="宋体"/>
          <w:bCs/>
          <w:iCs/>
          <w:color w:val="auto"/>
          <w:kern w:val="0"/>
          <w:sz w:val="24"/>
        </w:rPr>
      </w:pPr>
      <w:r>
        <w:rPr>
          <w:rFonts w:hint="eastAsia" w:ascii="宋体" w:hAnsi="宋体" w:cs="宋体"/>
          <w:bCs/>
          <w:iCs/>
          <w:color w:val="auto"/>
          <w:kern w:val="0"/>
          <w:sz w:val="24"/>
          <w:lang w:eastAsia="zh-CN"/>
        </w:rPr>
        <w:t>（</w:t>
      </w:r>
      <w:r>
        <w:rPr>
          <w:rFonts w:hint="eastAsia" w:ascii="宋体" w:hAnsi="宋体" w:cs="宋体"/>
          <w:bCs/>
          <w:iCs/>
          <w:color w:val="auto"/>
          <w:kern w:val="0"/>
          <w:sz w:val="24"/>
          <w:lang w:val="en-US" w:eastAsia="zh-CN"/>
        </w:rPr>
        <w:t>1</w:t>
      </w:r>
      <w:r>
        <w:rPr>
          <w:rFonts w:hint="eastAsia" w:ascii="宋体" w:hAnsi="宋体" w:cs="宋体"/>
          <w:bCs/>
          <w:iCs/>
          <w:color w:val="auto"/>
          <w:kern w:val="0"/>
          <w:sz w:val="24"/>
          <w:lang w:eastAsia="zh-CN"/>
        </w:rPr>
        <w:t>）</w:t>
      </w:r>
      <w:r>
        <w:rPr>
          <w:rFonts w:hint="eastAsia" w:ascii="宋体" w:hAnsi="宋体" w:cs="宋体"/>
          <w:bCs/>
          <w:iCs/>
          <w:color w:val="auto"/>
          <w:kern w:val="0"/>
          <w:sz w:val="24"/>
        </w:rPr>
        <w:t xml:space="preserve">成交供应商在供货时须提供所供货物质量检测合格报告等证明文件； </w:t>
      </w:r>
    </w:p>
    <w:p w14:paraId="53A75F74">
      <w:pPr>
        <w:spacing w:line="360" w:lineRule="auto"/>
        <w:ind w:firstLine="480" w:firstLineChars="200"/>
        <w:jc w:val="left"/>
        <w:rPr>
          <w:rFonts w:hint="eastAsia" w:ascii="宋体" w:hAnsi="宋体" w:cs="宋体"/>
          <w:bCs/>
          <w:iCs/>
          <w:color w:val="auto"/>
          <w:kern w:val="0"/>
          <w:sz w:val="24"/>
          <w:lang w:eastAsia="zh-CN"/>
        </w:rPr>
      </w:pPr>
      <w:r>
        <w:rPr>
          <w:rFonts w:hint="eastAsia" w:ascii="宋体" w:hAnsi="宋体" w:cs="宋体"/>
          <w:bCs/>
          <w:iCs/>
          <w:color w:val="auto"/>
          <w:kern w:val="0"/>
          <w:sz w:val="24"/>
          <w:lang w:eastAsia="zh-CN"/>
        </w:rPr>
        <w:t>（</w:t>
      </w:r>
      <w:r>
        <w:rPr>
          <w:rFonts w:hint="eastAsia" w:ascii="宋体" w:hAnsi="宋体" w:cs="宋体"/>
          <w:bCs/>
          <w:iCs/>
          <w:color w:val="auto"/>
          <w:kern w:val="0"/>
          <w:sz w:val="24"/>
          <w:lang w:val="en-US" w:eastAsia="zh-CN"/>
        </w:rPr>
        <w:t>2</w:t>
      </w:r>
      <w:r>
        <w:rPr>
          <w:rFonts w:hint="eastAsia" w:ascii="宋体" w:hAnsi="宋体" w:cs="宋体"/>
          <w:bCs/>
          <w:iCs/>
          <w:color w:val="auto"/>
          <w:kern w:val="0"/>
          <w:sz w:val="24"/>
          <w:lang w:eastAsia="zh-CN"/>
        </w:rPr>
        <w:t>）</w:t>
      </w:r>
      <w:r>
        <w:rPr>
          <w:rFonts w:hint="eastAsia" w:ascii="宋体" w:hAnsi="宋体" w:cs="宋体"/>
          <w:bCs/>
          <w:iCs/>
          <w:color w:val="auto"/>
          <w:kern w:val="0"/>
          <w:sz w:val="24"/>
        </w:rPr>
        <w:t>成交供应商承担在货物安装、调试、验收过程中所需的专用工具、量具、其它用具及耗材等费用</w:t>
      </w:r>
      <w:r>
        <w:rPr>
          <w:rFonts w:hint="eastAsia" w:ascii="宋体" w:hAnsi="宋体" w:cs="宋体"/>
          <w:bCs/>
          <w:iCs/>
          <w:color w:val="auto"/>
          <w:kern w:val="0"/>
          <w:sz w:val="24"/>
          <w:lang w:eastAsia="zh-CN"/>
        </w:rPr>
        <w:t>；</w:t>
      </w:r>
    </w:p>
    <w:p w14:paraId="5705B58A">
      <w:pPr>
        <w:spacing w:line="360" w:lineRule="auto"/>
        <w:ind w:firstLine="480" w:firstLineChars="200"/>
        <w:jc w:val="left"/>
        <w:rPr>
          <w:rFonts w:hint="eastAsia" w:ascii="宋体" w:hAnsi="宋体" w:eastAsia="宋体" w:cs="宋体"/>
          <w:bCs/>
          <w:iCs/>
          <w:color w:val="auto"/>
          <w:kern w:val="0"/>
          <w:sz w:val="24"/>
          <w:lang w:eastAsia="zh-CN"/>
        </w:rPr>
      </w:pPr>
      <w:r>
        <w:rPr>
          <w:rFonts w:hint="eastAsia" w:ascii="宋体" w:hAnsi="宋体" w:cs="宋体"/>
          <w:bCs/>
          <w:iCs/>
          <w:color w:val="auto"/>
          <w:kern w:val="0"/>
          <w:sz w:val="24"/>
          <w:lang w:eastAsia="zh-CN"/>
        </w:rPr>
        <w:t>（</w:t>
      </w:r>
      <w:r>
        <w:rPr>
          <w:rFonts w:hint="eastAsia" w:ascii="宋体" w:hAnsi="宋体" w:cs="宋体"/>
          <w:bCs/>
          <w:iCs/>
          <w:color w:val="auto"/>
          <w:kern w:val="0"/>
          <w:sz w:val="24"/>
          <w:lang w:val="en-US" w:eastAsia="zh-CN"/>
        </w:rPr>
        <w:t>3</w:t>
      </w:r>
      <w:r>
        <w:rPr>
          <w:rFonts w:hint="eastAsia" w:ascii="宋体" w:hAnsi="宋体" w:cs="宋体"/>
          <w:bCs/>
          <w:iCs/>
          <w:color w:val="auto"/>
          <w:kern w:val="0"/>
          <w:sz w:val="24"/>
          <w:lang w:eastAsia="zh-CN"/>
        </w:rPr>
        <w:t>）</w:t>
      </w:r>
      <w:r>
        <w:rPr>
          <w:rFonts w:hint="eastAsia" w:ascii="宋体" w:hAnsi="宋体" w:cs="宋体"/>
          <w:bCs/>
          <w:iCs/>
          <w:color w:val="auto"/>
          <w:kern w:val="0"/>
          <w:sz w:val="24"/>
        </w:rPr>
        <w:t>成交供应商在供货时须提供1份与所供货物相配套使用说明书及1份实验指导书</w:t>
      </w:r>
      <w:r>
        <w:rPr>
          <w:rFonts w:hint="eastAsia" w:ascii="宋体" w:hAnsi="宋体" w:cs="宋体"/>
          <w:bCs/>
          <w:iCs/>
          <w:color w:val="auto"/>
          <w:kern w:val="0"/>
          <w:sz w:val="24"/>
          <w:lang w:eastAsia="zh-CN"/>
        </w:rPr>
        <w:t>；</w:t>
      </w:r>
    </w:p>
    <w:p w14:paraId="48FE9808">
      <w:pPr>
        <w:spacing w:line="360" w:lineRule="auto"/>
        <w:ind w:firstLine="480" w:firstLineChars="200"/>
        <w:jc w:val="left"/>
        <w:rPr>
          <w:rFonts w:hint="default" w:ascii="宋体" w:hAnsi="宋体" w:cs="宋体"/>
          <w:bCs/>
          <w:iCs/>
          <w:color w:val="auto"/>
          <w:kern w:val="0"/>
          <w:sz w:val="24"/>
          <w:lang w:val="en-US" w:eastAsia="zh-CN"/>
        </w:rPr>
      </w:pPr>
      <w:r>
        <w:rPr>
          <w:rFonts w:hint="eastAsia" w:ascii="宋体" w:hAnsi="宋体" w:cs="宋体"/>
          <w:bCs/>
          <w:iCs/>
          <w:color w:val="auto"/>
          <w:kern w:val="0"/>
          <w:sz w:val="24"/>
          <w:lang w:eastAsia="zh-CN"/>
        </w:rPr>
        <w:t>（</w:t>
      </w:r>
      <w:r>
        <w:rPr>
          <w:rFonts w:hint="eastAsia" w:ascii="宋体" w:hAnsi="宋体" w:cs="宋体"/>
          <w:bCs/>
          <w:iCs/>
          <w:color w:val="auto"/>
          <w:kern w:val="0"/>
          <w:sz w:val="24"/>
          <w:lang w:val="en-US" w:eastAsia="zh-CN"/>
        </w:rPr>
        <w:t>4</w:t>
      </w:r>
      <w:r>
        <w:rPr>
          <w:rFonts w:hint="eastAsia" w:ascii="宋体" w:hAnsi="宋体" w:cs="宋体"/>
          <w:bCs/>
          <w:iCs/>
          <w:color w:val="auto"/>
          <w:kern w:val="0"/>
          <w:sz w:val="24"/>
          <w:lang w:eastAsia="zh-CN"/>
        </w:rPr>
        <w:t>）</w:t>
      </w:r>
      <w:r>
        <w:rPr>
          <w:rFonts w:hint="eastAsia" w:ascii="宋体" w:hAnsi="宋体" w:cs="宋体"/>
          <w:bCs/>
          <w:iCs/>
          <w:color w:val="auto"/>
          <w:kern w:val="0"/>
          <w:sz w:val="24"/>
        </w:rPr>
        <w:t>交付时对投标文件中的技术指标进行逐项演示。</w:t>
      </w:r>
    </w:p>
    <w:p w14:paraId="546C677D">
      <w:pPr>
        <w:adjustRightInd w:val="0"/>
        <w:spacing w:line="360" w:lineRule="auto"/>
        <w:ind w:firstLine="479" w:firstLineChars="199"/>
        <w:jc w:val="left"/>
        <w:textAlignment w:val="baseline"/>
        <w:rPr>
          <w:rFonts w:cs="仿宋_GB2312"/>
          <w:b/>
          <w:color w:val="auto"/>
          <w:sz w:val="24"/>
        </w:rPr>
      </w:pPr>
      <w:r>
        <w:rPr>
          <w:rFonts w:hint="eastAsia" w:cs="仿宋_GB2312"/>
          <w:b/>
          <w:color w:val="auto"/>
          <w:sz w:val="24"/>
        </w:rPr>
        <w:t>1</w:t>
      </w:r>
      <w:r>
        <w:rPr>
          <w:rFonts w:hint="eastAsia" w:cs="仿宋_GB2312"/>
          <w:b/>
          <w:color w:val="auto"/>
          <w:sz w:val="24"/>
          <w:lang w:val="en-US" w:eastAsia="zh-CN"/>
        </w:rPr>
        <w:t>6</w:t>
      </w:r>
      <w:r>
        <w:rPr>
          <w:rFonts w:hint="eastAsia" w:cs="仿宋_GB2312"/>
          <w:b/>
          <w:color w:val="auto"/>
          <w:sz w:val="24"/>
        </w:rPr>
        <w:t>、工程工期、竣工验收：</w:t>
      </w:r>
    </w:p>
    <w:p w14:paraId="7711E4B5">
      <w:pPr>
        <w:adjustRightInd w:val="0"/>
        <w:spacing w:line="360" w:lineRule="auto"/>
        <w:ind w:firstLine="477" w:firstLineChars="199"/>
        <w:jc w:val="left"/>
        <w:textAlignment w:val="baseline"/>
        <w:rPr>
          <w:rFonts w:cs="仿宋_GB2312"/>
          <w:color w:val="auto"/>
          <w:sz w:val="24"/>
        </w:rPr>
      </w:pPr>
      <w:r>
        <w:rPr>
          <w:rFonts w:hint="eastAsia" w:cs="仿宋_GB2312"/>
          <w:color w:val="auto"/>
          <w:sz w:val="24"/>
          <w:lang w:val="en-US" w:eastAsia="zh-CN"/>
        </w:rPr>
        <w:t>（1）</w:t>
      </w:r>
      <w:r>
        <w:rPr>
          <w:rFonts w:hint="eastAsia" w:cs="仿宋_GB2312"/>
          <w:color w:val="auto"/>
          <w:sz w:val="24"/>
        </w:rPr>
        <w:t>合同签订后</w:t>
      </w:r>
      <w:r>
        <w:rPr>
          <w:rFonts w:hint="eastAsia" w:cs="仿宋_GB2312"/>
          <w:color w:val="auto"/>
          <w:sz w:val="24"/>
          <w:lang w:val="en-US" w:eastAsia="zh-CN"/>
        </w:rPr>
        <w:t>30</w:t>
      </w:r>
      <w:r>
        <w:rPr>
          <w:rFonts w:hint="eastAsia" w:cs="仿宋_GB2312"/>
          <w:color w:val="auto"/>
          <w:sz w:val="24"/>
        </w:rPr>
        <w:t>个自然日。</w:t>
      </w:r>
    </w:p>
    <w:p w14:paraId="19C0F2DF">
      <w:pPr>
        <w:adjustRightInd w:val="0"/>
        <w:spacing w:line="360" w:lineRule="auto"/>
        <w:ind w:firstLine="477" w:firstLineChars="199"/>
        <w:jc w:val="left"/>
        <w:textAlignment w:val="baseline"/>
        <w:rPr>
          <w:rFonts w:hint="eastAsia" w:cs="仿宋_GB2312"/>
          <w:color w:val="auto"/>
          <w:sz w:val="24"/>
        </w:rPr>
      </w:pPr>
      <w:r>
        <w:rPr>
          <w:rFonts w:hint="eastAsia" w:cs="仿宋_GB2312"/>
          <w:color w:val="auto"/>
          <w:sz w:val="24"/>
          <w:lang w:val="en-US" w:eastAsia="zh-CN"/>
        </w:rPr>
        <w:t>（2）</w:t>
      </w:r>
      <w:r>
        <w:rPr>
          <w:rFonts w:hint="eastAsia" w:cs="仿宋_GB2312"/>
          <w:color w:val="auto"/>
          <w:sz w:val="24"/>
        </w:rPr>
        <w:t>工程验收按照严格按照国家相关规范和行业标准要求进行。</w:t>
      </w:r>
    </w:p>
    <w:p w14:paraId="677D582F">
      <w:pPr>
        <w:adjustRightInd w:val="0"/>
        <w:snapToGrid w:val="0"/>
        <w:spacing w:line="360" w:lineRule="auto"/>
        <w:ind w:firstLine="480" w:firstLineChars="200"/>
        <w:rPr>
          <w:rFonts w:hint="eastAsia" w:eastAsia="宋体" w:cs="仿宋_GB2312"/>
          <w:color w:val="auto"/>
          <w:sz w:val="24"/>
          <w:lang w:eastAsia="zh-CN"/>
        </w:rPr>
      </w:pPr>
      <w:r>
        <w:rPr>
          <w:rFonts w:hint="eastAsia" w:cs="仿宋_GB2312"/>
          <w:color w:val="auto"/>
          <w:sz w:val="24"/>
          <w:lang w:eastAsia="zh-CN"/>
        </w:rPr>
        <w:t>（</w:t>
      </w:r>
      <w:r>
        <w:rPr>
          <w:rFonts w:hint="eastAsia" w:cs="仿宋_GB2312"/>
          <w:color w:val="auto"/>
          <w:sz w:val="24"/>
          <w:lang w:val="en-US" w:eastAsia="zh-CN"/>
        </w:rPr>
        <w:t>3</w:t>
      </w:r>
      <w:r>
        <w:rPr>
          <w:rFonts w:hint="eastAsia" w:cs="仿宋_GB2312"/>
          <w:color w:val="auto"/>
          <w:sz w:val="24"/>
          <w:lang w:eastAsia="zh-CN"/>
        </w:rPr>
        <w:t>）</w:t>
      </w:r>
      <w:r>
        <w:rPr>
          <w:rFonts w:hint="eastAsia" w:cs="仿宋_GB2312"/>
          <w:color w:val="auto"/>
          <w:sz w:val="24"/>
        </w:rPr>
        <w:t>供货完成后，提供产品合格证和产品说明书等各</w:t>
      </w:r>
      <w:r>
        <w:rPr>
          <w:rFonts w:hint="eastAsia" w:cs="仿宋_GB2312"/>
          <w:color w:val="auto"/>
          <w:sz w:val="24"/>
          <w:lang w:val="en-US" w:eastAsia="zh-CN"/>
        </w:rPr>
        <w:t>3</w:t>
      </w:r>
      <w:r>
        <w:rPr>
          <w:rFonts w:hint="eastAsia" w:cs="仿宋_GB2312"/>
          <w:color w:val="auto"/>
          <w:sz w:val="24"/>
        </w:rPr>
        <w:t>套，并对采购人及运营管理人员进行操作和维护培训。</w:t>
      </w:r>
    </w:p>
    <w:p w14:paraId="6CEF2FC7">
      <w:pPr>
        <w:adjustRightInd w:val="0"/>
        <w:spacing w:line="360" w:lineRule="auto"/>
        <w:ind w:firstLine="479" w:firstLineChars="199"/>
        <w:jc w:val="left"/>
        <w:textAlignment w:val="baseline"/>
        <w:rPr>
          <w:rFonts w:hint="eastAsia" w:cs="仿宋_GB2312"/>
          <w:color w:val="auto"/>
          <w:sz w:val="24"/>
        </w:rPr>
      </w:pPr>
      <w:r>
        <w:rPr>
          <w:rFonts w:hint="eastAsia" w:cs="仿宋_GB2312"/>
          <w:b/>
          <w:color w:val="auto"/>
          <w:sz w:val="24"/>
        </w:rPr>
        <w:t>1</w:t>
      </w:r>
      <w:r>
        <w:rPr>
          <w:rFonts w:hint="eastAsia" w:cs="仿宋_GB2312"/>
          <w:b/>
          <w:color w:val="auto"/>
          <w:sz w:val="24"/>
          <w:lang w:val="en-US" w:eastAsia="zh-CN"/>
        </w:rPr>
        <w:t>7</w:t>
      </w:r>
      <w:r>
        <w:rPr>
          <w:rFonts w:hint="eastAsia" w:cs="仿宋_GB2312"/>
          <w:b/>
          <w:color w:val="auto"/>
          <w:sz w:val="24"/>
        </w:rPr>
        <w:t>、付款方式：</w:t>
      </w:r>
      <w:r>
        <w:rPr>
          <w:rFonts w:hint="eastAsia" w:cs="仿宋_GB2312"/>
          <w:color w:val="auto"/>
          <w:sz w:val="24"/>
        </w:rPr>
        <w:t>合同签订、项目整体方案确定后，付合同价的30%</w:t>
      </w:r>
      <w:r>
        <w:rPr>
          <w:rFonts w:hint="eastAsia" w:cs="仿宋_GB2312"/>
          <w:color w:val="auto"/>
          <w:sz w:val="24"/>
          <w:lang w:eastAsia="zh-CN"/>
        </w:rPr>
        <w:t>；</w:t>
      </w:r>
      <w:r>
        <w:rPr>
          <w:rFonts w:hint="eastAsia" w:cs="仿宋_GB2312"/>
          <w:color w:val="auto"/>
          <w:sz w:val="24"/>
        </w:rPr>
        <w:t>货物到场、安装完成后，根据实际供货情况，支付至货物总价款的60%；验收合格并经三个月使用无质量问题，</w:t>
      </w:r>
      <w:r>
        <w:rPr>
          <w:rFonts w:hint="eastAsia" w:cs="仿宋_GB2312"/>
          <w:color w:val="auto"/>
          <w:sz w:val="24"/>
          <w:lang w:val="en-US" w:eastAsia="zh-CN"/>
        </w:rPr>
        <w:t>并</w:t>
      </w:r>
      <w:r>
        <w:rPr>
          <w:rFonts w:hint="eastAsia" w:cs="仿宋_GB2312"/>
          <w:color w:val="auto"/>
          <w:sz w:val="24"/>
        </w:rPr>
        <w:t>开具全额增值税专用发票后支付至货物总价款的95%</w:t>
      </w:r>
      <w:r>
        <w:rPr>
          <w:rFonts w:hint="eastAsia" w:cs="仿宋_GB2312"/>
          <w:color w:val="auto"/>
          <w:sz w:val="24"/>
          <w:lang w:eastAsia="zh-CN"/>
        </w:rPr>
        <w:t>，</w:t>
      </w:r>
      <w:r>
        <w:rPr>
          <w:rFonts w:hint="eastAsia" w:cs="仿宋_GB2312"/>
          <w:color w:val="auto"/>
          <w:sz w:val="24"/>
        </w:rPr>
        <w:t>剩余</w:t>
      </w:r>
      <w:r>
        <w:rPr>
          <w:rFonts w:hint="eastAsia" w:cs="仿宋_GB2312"/>
          <w:color w:val="auto"/>
          <w:sz w:val="24"/>
          <w:lang w:val="en-US" w:eastAsia="zh-CN"/>
        </w:rPr>
        <w:t>5</w:t>
      </w:r>
      <w:r>
        <w:rPr>
          <w:rFonts w:hint="eastAsia" w:cs="仿宋_GB2312"/>
          <w:color w:val="auto"/>
          <w:sz w:val="24"/>
        </w:rPr>
        <w:t>%作为质保金，质保期一年后无质量问题一次性无息付清质保金。质保期内发现质量问题，出卖人负责免费更换或维修，造成买受人生产安全损失的，出卖人应予以赔偿。</w:t>
      </w:r>
    </w:p>
    <w:p w14:paraId="25CA0B05">
      <w:pPr>
        <w:adjustRightInd w:val="0"/>
        <w:spacing w:line="360" w:lineRule="auto"/>
        <w:ind w:firstLine="479" w:firstLineChars="199"/>
        <w:jc w:val="left"/>
        <w:textAlignment w:val="baseline"/>
        <w:rPr>
          <w:rFonts w:hint="default" w:cs="仿宋_GB2312"/>
          <w:color w:val="auto"/>
          <w:sz w:val="24"/>
          <w:lang w:val="en-US" w:eastAsia="zh-CN"/>
        </w:rPr>
      </w:pPr>
      <w:r>
        <w:rPr>
          <w:rFonts w:hint="eastAsia" w:cs="仿宋_GB2312"/>
          <w:b/>
          <w:bCs/>
          <w:color w:val="auto"/>
          <w:sz w:val="24"/>
          <w:lang w:val="en-US" w:eastAsia="zh-CN"/>
        </w:rPr>
        <w:t>18、</w:t>
      </w:r>
      <w:r>
        <w:rPr>
          <w:rFonts w:hint="eastAsia" w:cs="仿宋_GB2312"/>
          <w:b/>
          <w:bCs/>
          <w:color w:val="auto"/>
          <w:sz w:val="24"/>
        </w:rPr>
        <w:t>资质要求</w:t>
      </w:r>
      <w:r>
        <w:rPr>
          <w:rFonts w:hint="eastAsia" w:cs="仿宋_GB2312"/>
          <w:color w:val="auto"/>
          <w:sz w:val="24"/>
          <w:lang w:eastAsia="zh-CN"/>
        </w:rPr>
        <w:t>：</w:t>
      </w:r>
      <w:r>
        <w:rPr>
          <w:rFonts w:hint="eastAsia" w:cs="仿宋_GB2312"/>
          <w:color w:val="auto"/>
          <w:sz w:val="24"/>
        </w:rPr>
        <w:t>成交供应商在安装过程中，应提供各安装工人的相应证件。</w:t>
      </w:r>
    </w:p>
    <w:p w14:paraId="53399938">
      <w:pPr>
        <w:adjustRightInd w:val="0"/>
        <w:spacing w:line="360" w:lineRule="auto"/>
        <w:ind w:firstLine="479" w:firstLineChars="199"/>
        <w:jc w:val="left"/>
        <w:textAlignment w:val="baseline"/>
        <w:rPr>
          <w:rFonts w:hint="default" w:cs="仿宋_GB2312"/>
          <w:color w:val="auto"/>
          <w:sz w:val="24"/>
          <w:lang w:val="en-US" w:eastAsia="zh-CN"/>
        </w:rPr>
      </w:pPr>
      <w:r>
        <w:rPr>
          <w:rFonts w:hint="eastAsia" w:cs="仿宋_GB2312"/>
          <w:b/>
          <w:bCs/>
          <w:color w:val="auto"/>
          <w:sz w:val="24"/>
          <w:lang w:val="en-US" w:eastAsia="zh-CN"/>
        </w:rPr>
        <w:t>19、联系人：</w:t>
      </w:r>
      <w:r>
        <w:rPr>
          <w:rFonts w:hint="eastAsia" w:cs="仿宋_GB2312"/>
          <w:color w:val="auto"/>
          <w:sz w:val="24"/>
          <w:lang w:val="en-US" w:eastAsia="zh-CN"/>
        </w:rPr>
        <w:t>刘俊，联系电话：13593165230</w:t>
      </w:r>
    </w:p>
    <w:p w14:paraId="7117AA85">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6E03AFE1">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7CB6AABA">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12B03D70">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5DCF31EF">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7EC59F08">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2DB90D76">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2C3D038F">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387767AC">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27D353A1">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4057E5F7">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0EDE8E7E">
      <w:pPr>
        <w:pStyle w:val="17"/>
        <w:widowControl w:val="0"/>
        <w:adjustRightInd w:val="0"/>
        <w:snapToGrid w:val="0"/>
        <w:spacing w:before="0" w:beforeAutospacing="0" w:after="0" w:afterAutospacing="0" w:line="360" w:lineRule="auto"/>
        <w:ind w:firstLine="720" w:firstLineChars="300"/>
        <w:rPr>
          <w:rFonts w:hint="eastAsia" w:cs="仿宋_GB2312"/>
          <w:color w:val="auto"/>
          <w:sz w:val="24"/>
          <w:szCs w:val="24"/>
        </w:rPr>
      </w:pPr>
    </w:p>
    <w:p w14:paraId="7B636C6E">
      <w:pPr>
        <w:pStyle w:val="17"/>
        <w:widowControl w:val="0"/>
        <w:adjustRightInd w:val="0"/>
        <w:snapToGrid w:val="0"/>
        <w:spacing w:before="0" w:beforeAutospacing="0" w:after="0" w:afterAutospacing="0" w:line="360" w:lineRule="auto"/>
        <w:rPr>
          <w:rFonts w:hint="eastAsia" w:cs="仿宋_GB2312"/>
          <w:color w:val="auto"/>
          <w:sz w:val="24"/>
          <w:szCs w:val="24"/>
        </w:rPr>
      </w:pPr>
    </w:p>
    <w:p w14:paraId="48A08A45">
      <w:pPr>
        <w:pStyle w:val="17"/>
        <w:widowControl w:val="0"/>
        <w:adjustRightInd w:val="0"/>
        <w:snapToGrid w:val="0"/>
        <w:spacing w:before="0" w:beforeAutospacing="0" w:after="0" w:afterAutospacing="0" w:line="360" w:lineRule="auto"/>
        <w:jc w:val="center"/>
        <w:rPr>
          <w:rFonts w:hint="eastAsia" w:cs="仿宋_GB2312"/>
          <w:b/>
          <w:bCs/>
          <w:color w:val="auto"/>
          <w:sz w:val="28"/>
          <w:szCs w:val="28"/>
        </w:rPr>
      </w:pPr>
      <w:r>
        <w:rPr>
          <w:rFonts w:hint="eastAsia" w:cs="仿宋_GB2312"/>
          <w:b/>
          <w:bCs/>
          <w:color w:val="auto"/>
          <w:sz w:val="28"/>
          <w:szCs w:val="28"/>
          <w:lang w:val="en-US" w:eastAsia="zh-CN"/>
        </w:rPr>
        <w:t>智慧</w:t>
      </w:r>
      <w:r>
        <w:rPr>
          <w:rFonts w:hint="eastAsia" w:cs="仿宋_GB2312"/>
          <w:b/>
          <w:bCs/>
          <w:color w:val="auto"/>
          <w:sz w:val="28"/>
          <w:szCs w:val="28"/>
        </w:rPr>
        <w:t>园区</w:t>
      </w:r>
      <w:r>
        <w:rPr>
          <w:rFonts w:hint="eastAsia" w:cs="仿宋_GB2312"/>
          <w:b/>
          <w:bCs/>
          <w:color w:val="auto"/>
          <w:sz w:val="28"/>
          <w:szCs w:val="28"/>
          <w:lang w:val="en-US" w:eastAsia="zh-CN"/>
        </w:rPr>
        <w:t>办公楼楼体发光字</w:t>
      </w:r>
      <w:r>
        <w:rPr>
          <w:rFonts w:hint="eastAsia" w:cs="仿宋_GB2312"/>
          <w:b/>
          <w:bCs/>
          <w:color w:val="auto"/>
          <w:sz w:val="28"/>
          <w:szCs w:val="28"/>
        </w:rPr>
        <w:t>采购及安装询比采购文件</w:t>
      </w:r>
    </w:p>
    <w:p w14:paraId="323C6ABD">
      <w:pPr>
        <w:pStyle w:val="17"/>
        <w:widowControl w:val="0"/>
        <w:adjustRightInd w:val="0"/>
        <w:snapToGrid w:val="0"/>
        <w:spacing w:before="0" w:beforeAutospacing="0" w:after="0" w:afterAutospacing="0" w:line="360" w:lineRule="auto"/>
        <w:jc w:val="center"/>
        <w:rPr>
          <w:rFonts w:hint="eastAsia" w:cs="仿宋_GB2312"/>
          <w:b/>
          <w:bCs/>
          <w:color w:val="auto"/>
          <w:sz w:val="30"/>
          <w:szCs w:val="30"/>
        </w:rPr>
      </w:pPr>
      <w:r>
        <w:rPr>
          <w:rFonts w:hint="eastAsia" w:cs="仿宋_GB2312"/>
          <w:b/>
          <w:bCs/>
          <w:color w:val="auto"/>
          <w:sz w:val="28"/>
          <w:szCs w:val="28"/>
        </w:rPr>
        <w:t>第一部分 谈判须知</w:t>
      </w:r>
    </w:p>
    <w:p w14:paraId="5FA72060">
      <w:pPr>
        <w:pStyle w:val="17"/>
        <w:widowControl w:val="0"/>
        <w:adjustRightInd w:val="0"/>
        <w:snapToGrid w:val="0"/>
        <w:spacing w:before="0" w:beforeAutospacing="0" w:after="0" w:afterAutospacing="0" w:line="360" w:lineRule="auto"/>
        <w:ind w:firstLine="472" w:firstLineChars="196"/>
        <w:rPr>
          <w:rFonts w:hint="eastAsia" w:cs="仿宋_GB2312"/>
          <w:b/>
          <w:bCs/>
          <w:color w:val="auto"/>
          <w:sz w:val="24"/>
          <w:szCs w:val="24"/>
        </w:rPr>
      </w:pPr>
    </w:p>
    <w:p w14:paraId="6583AB31">
      <w:pPr>
        <w:pStyle w:val="17"/>
        <w:widowControl w:val="0"/>
        <w:adjustRightInd w:val="0"/>
        <w:snapToGrid w:val="0"/>
        <w:spacing w:before="0" w:beforeAutospacing="0" w:after="0" w:afterAutospacing="0" w:line="360" w:lineRule="auto"/>
        <w:ind w:firstLine="472" w:firstLineChars="196"/>
        <w:rPr>
          <w:rFonts w:hint="eastAsia" w:cs="仿宋_GB2312"/>
          <w:b/>
          <w:color w:val="auto"/>
          <w:sz w:val="24"/>
          <w:szCs w:val="24"/>
        </w:rPr>
      </w:pPr>
      <w:r>
        <w:rPr>
          <w:rFonts w:hint="eastAsia" w:cs="仿宋_GB2312"/>
          <w:b/>
          <w:bCs/>
          <w:color w:val="auto"/>
          <w:sz w:val="24"/>
          <w:szCs w:val="24"/>
        </w:rPr>
        <w:t>一、说 明</w:t>
      </w:r>
    </w:p>
    <w:p w14:paraId="5261DAE8">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谈判费用：投标人应自行承担所有与编写和提交谈判文件有关的费用，无论谈判的结果如何，采购人在任何情况下均无责任承担这些费用。</w:t>
      </w:r>
    </w:p>
    <w:p w14:paraId="0CF792ED">
      <w:pPr>
        <w:pStyle w:val="17"/>
        <w:widowControl w:val="0"/>
        <w:adjustRightInd w:val="0"/>
        <w:snapToGrid w:val="0"/>
        <w:spacing w:before="0" w:beforeAutospacing="0" w:after="0" w:afterAutospacing="0" w:line="360" w:lineRule="auto"/>
        <w:ind w:firstLine="482" w:firstLineChars="200"/>
        <w:rPr>
          <w:rFonts w:hint="eastAsia" w:cs="仿宋_GB2312"/>
          <w:b/>
          <w:color w:val="auto"/>
          <w:sz w:val="24"/>
          <w:szCs w:val="24"/>
        </w:rPr>
      </w:pPr>
      <w:r>
        <w:rPr>
          <w:rFonts w:hint="eastAsia" w:cs="仿宋_GB2312"/>
          <w:b/>
          <w:bCs/>
          <w:color w:val="auto"/>
          <w:sz w:val="24"/>
          <w:szCs w:val="24"/>
        </w:rPr>
        <w:t>二、谈判采购文件</w:t>
      </w:r>
    </w:p>
    <w:p w14:paraId="7C167C45">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1、谈判采购文件的组成：</w:t>
      </w:r>
    </w:p>
    <w:p w14:paraId="254BE8E0">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w:t>
      </w:r>
      <w:r>
        <w:rPr>
          <w:rFonts w:hint="eastAsia" w:cs="仿宋_GB2312"/>
          <w:color w:val="auto"/>
          <w:sz w:val="24"/>
          <w:szCs w:val="24"/>
          <w:lang w:val="en-US" w:eastAsia="zh-CN"/>
        </w:rPr>
        <w:t>询比采购文件</w:t>
      </w:r>
      <w:r>
        <w:rPr>
          <w:rFonts w:hint="eastAsia" w:cs="仿宋_GB2312"/>
          <w:color w:val="auto"/>
          <w:sz w:val="24"/>
          <w:szCs w:val="24"/>
        </w:rPr>
        <w:t>；</w:t>
      </w:r>
    </w:p>
    <w:p w14:paraId="7EA3360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（2）谈判须知；</w:t>
      </w:r>
    </w:p>
    <w:p w14:paraId="662C37A1">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w:t>
      </w:r>
      <w:r>
        <w:rPr>
          <w:rFonts w:hint="eastAsia" w:cs="宋体"/>
          <w:color w:val="auto"/>
          <w:sz w:val="24"/>
          <w:szCs w:val="24"/>
        </w:rPr>
        <w:t>合同主要条款</w:t>
      </w:r>
      <w:r>
        <w:rPr>
          <w:rFonts w:hint="eastAsia" w:cs="宋体"/>
          <w:b/>
          <w:color w:val="auto"/>
          <w:sz w:val="24"/>
          <w:szCs w:val="24"/>
        </w:rPr>
        <w:t>；</w:t>
      </w:r>
    </w:p>
    <w:p w14:paraId="023B089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（4）技术要求；</w:t>
      </w:r>
    </w:p>
    <w:p w14:paraId="08211A5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（5）谈判文件格式。</w:t>
      </w:r>
    </w:p>
    <w:p w14:paraId="0274BA26">
      <w:pPr>
        <w:pStyle w:val="17"/>
        <w:widowControl w:val="0"/>
        <w:adjustRightInd w:val="0"/>
        <w:snapToGrid w:val="0"/>
        <w:spacing w:before="0" w:beforeAutospacing="0" w:after="0" w:afterAutospacing="0" w:line="360" w:lineRule="auto"/>
        <w:ind w:firstLine="482" w:firstLineChars="200"/>
        <w:rPr>
          <w:rFonts w:hint="eastAsia" w:cs="仿宋_GB2312"/>
          <w:b/>
          <w:color w:val="auto"/>
          <w:sz w:val="24"/>
          <w:szCs w:val="24"/>
        </w:rPr>
      </w:pPr>
      <w:r>
        <w:rPr>
          <w:rFonts w:hint="eastAsia" w:cs="仿宋_GB2312"/>
          <w:b/>
          <w:bCs/>
          <w:color w:val="auto"/>
          <w:sz w:val="24"/>
          <w:szCs w:val="24"/>
        </w:rPr>
        <w:t>三、谈判文件的编写</w:t>
      </w:r>
    </w:p>
    <w:p w14:paraId="6C96A242">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1、谈判文件的编写</w:t>
      </w:r>
    </w:p>
    <w:p w14:paraId="4BD030B4">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投标人应仔细阅读谈判文件，了解谈判文件的要求。在完全了解谈判物资的技术要求以及商务条件后，认真编制谈判文件。投标人列席人员必须做到商务、技术兼顾，如果对其标的物技术方面做不到全面解答的，严格要求本单位专业技术人员一同出席，便于答疑和澄清,否则使</w:t>
      </w:r>
      <w:r>
        <w:rPr>
          <w:rFonts w:cs="仿宋_GB2312"/>
          <w:color w:val="auto"/>
          <w:sz w:val="24"/>
          <w:szCs w:val="24"/>
        </w:rPr>
        <w:t>其</w:t>
      </w:r>
      <w:r>
        <w:rPr>
          <w:rFonts w:hint="eastAsia" w:cs="仿宋_GB2312"/>
          <w:color w:val="auto"/>
          <w:sz w:val="24"/>
          <w:szCs w:val="24"/>
        </w:rPr>
        <w:t>投标有可能被拒绝。</w:t>
      </w:r>
    </w:p>
    <w:p w14:paraId="4E55D3D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2、谈判的语言及计量单位</w:t>
      </w:r>
    </w:p>
    <w:p w14:paraId="55CA2E5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（1）投标人的谈判文件以及投标人就有关谈判的所有来往函电均应使用中文。</w:t>
      </w:r>
    </w:p>
    <w:p w14:paraId="76AE500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（2）谈判文件中所使用的计量单位除采购文件中有特殊规定外，一律使用法定计量单位。</w:t>
      </w:r>
    </w:p>
    <w:p w14:paraId="57EB0BE2">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3、谈判文件构成</w:t>
      </w:r>
    </w:p>
    <w:p w14:paraId="092207AC">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投标人的谈判文件应至少包括下列内容：</w:t>
      </w:r>
    </w:p>
    <w:p w14:paraId="5A2AF4F1">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（1）按要求填写的谈判函、报价一览表、谈判货物情况说明表等；</w:t>
      </w:r>
    </w:p>
    <w:p w14:paraId="78838D3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（2）按要求出具的资格证明文件；</w:t>
      </w:r>
    </w:p>
    <w:p w14:paraId="658B22C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（3）企业经营业绩</w:t>
      </w:r>
      <w:r>
        <w:rPr>
          <w:rFonts w:hint="eastAsia" w:cs="仿宋_GB2312"/>
          <w:color w:val="auto"/>
          <w:sz w:val="24"/>
          <w:szCs w:val="24"/>
          <w:lang w:eastAsia="zh-CN"/>
        </w:rPr>
        <w:t>（</w:t>
      </w:r>
      <w:r>
        <w:rPr>
          <w:rFonts w:hint="eastAsia" w:ascii="宋体" w:hAnsi="宋体" w:cs="宋体"/>
          <w:color w:val="auto"/>
          <w:kern w:val="0"/>
          <w:sz w:val="24"/>
          <w:lang w:val="en-US" w:eastAsia="zh-CN"/>
        </w:rPr>
        <w:t>投标人自2020年1月1日以来（以合同签订时间为准），具有楼体发光字（发光字安装高度40米及以上）同类项目且合同金额人民币10万元及以上供货安装业绩</w:t>
      </w:r>
      <w:r>
        <w:rPr>
          <w:rFonts w:hint="eastAsia" w:cs="仿宋_GB2312"/>
          <w:color w:val="auto"/>
          <w:sz w:val="24"/>
          <w:szCs w:val="24"/>
          <w:lang w:eastAsia="zh-CN"/>
        </w:rPr>
        <w:t>）</w:t>
      </w:r>
      <w:r>
        <w:rPr>
          <w:rFonts w:hint="eastAsia" w:cs="仿宋_GB2312"/>
          <w:color w:val="auto"/>
          <w:sz w:val="24"/>
          <w:szCs w:val="24"/>
        </w:rPr>
        <w:t>；</w:t>
      </w:r>
    </w:p>
    <w:p w14:paraId="64652DF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（4）商务文件及商务偏离表；</w:t>
      </w:r>
    </w:p>
    <w:p w14:paraId="2FE4DF6E">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 xml:space="preserve">（5）技术文件及技术规格偏离表； </w:t>
      </w:r>
    </w:p>
    <w:p w14:paraId="24F915A2">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（6）谈判文件商务偏离和技术偏离已超越采购文件实质性要求或不符合行业常规的视为不响应谈判文件；</w:t>
      </w:r>
    </w:p>
    <w:p w14:paraId="67A5D66C">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（7）主要配置不响应采购文件要求或制造标准低于采购文件规定标准的视为不响应采购文件；</w:t>
      </w:r>
    </w:p>
    <w:p w14:paraId="5C4B5F49">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（8）其它需要说明的事项。</w:t>
      </w:r>
    </w:p>
    <w:p w14:paraId="160DB638">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4、谈判报价</w:t>
      </w:r>
    </w:p>
    <w:p w14:paraId="015C051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（1）投标人应在谈判报价表中对</w:t>
      </w:r>
      <w:r>
        <w:rPr>
          <w:rFonts w:hint="eastAsia" w:cs="仿宋_GB2312"/>
          <w:color w:val="auto"/>
          <w:sz w:val="24"/>
          <w:szCs w:val="24"/>
          <w:lang w:val="en-US" w:eastAsia="zh-CN"/>
        </w:rPr>
        <w:t>项目</w:t>
      </w:r>
      <w:r>
        <w:rPr>
          <w:rFonts w:hint="eastAsia" w:cs="仿宋_GB2312"/>
          <w:color w:val="auto"/>
          <w:sz w:val="24"/>
          <w:szCs w:val="24"/>
        </w:rPr>
        <w:t>名称、型号规格、数量、单价、总价、期限等逐项填报，严格按分项报价表（附后）内容进行报价。</w:t>
      </w:r>
    </w:p>
    <w:p w14:paraId="1FCAA9D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（2）谈判价含</w:t>
      </w:r>
      <w:r>
        <w:rPr>
          <w:rFonts w:hint="eastAsia" w:cs="仿宋_GB2312"/>
          <w:color w:val="auto"/>
          <w:sz w:val="24"/>
          <w:szCs w:val="24"/>
          <w:lang w:val="en-US" w:eastAsia="zh-CN"/>
        </w:rPr>
        <w:t>采购材料</w:t>
      </w:r>
      <w:r>
        <w:rPr>
          <w:rFonts w:hint="eastAsia" w:cs="仿宋_GB2312"/>
          <w:color w:val="auto"/>
          <w:sz w:val="24"/>
          <w:szCs w:val="24"/>
        </w:rPr>
        <w:t>、</w:t>
      </w:r>
      <w:r>
        <w:rPr>
          <w:rFonts w:hint="eastAsia" w:cs="仿宋_GB2312"/>
          <w:color w:val="auto"/>
          <w:sz w:val="24"/>
          <w:szCs w:val="24"/>
          <w:lang w:val="en-US" w:eastAsia="zh-CN"/>
        </w:rPr>
        <w:t>生产制作、</w:t>
      </w:r>
      <w:r>
        <w:rPr>
          <w:rFonts w:hint="eastAsia" w:cs="仿宋_GB2312"/>
          <w:color w:val="auto"/>
          <w:sz w:val="24"/>
          <w:szCs w:val="24"/>
        </w:rPr>
        <w:t>运输费、安装费、税金等施工中产生的一切费用。</w:t>
      </w:r>
    </w:p>
    <w:p w14:paraId="746B2A0C">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（3）《报价一览表》标明的价格，作为评标的价格依据之一，投标人可根据采购人要求进行再次报价。</w:t>
      </w:r>
    </w:p>
    <w:p w14:paraId="5DCC9AA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（4）招标文件中提到的品牌仅供参考，投标方可提供与之同档次或高档次的产品。</w:t>
      </w:r>
    </w:p>
    <w:p w14:paraId="0F0F701C">
      <w:pPr>
        <w:pStyle w:val="17"/>
        <w:widowControl w:val="0"/>
        <w:adjustRightInd w:val="0"/>
        <w:snapToGrid w:val="0"/>
        <w:spacing w:before="0" w:beforeAutospacing="0" w:after="0" w:afterAutospacing="0" w:line="360" w:lineRule="auto"/>
        <w:ind w:firstLine="480" w:firstLineChars="200"/>
        <w:rPr>
          <w:rFonts w:cs="仿宋_GB2312"/>
          <w:color w:val="auto"/>
          <w:sz w:val="24"/>
          <w:szCs w:val="24"/>
        </w:rPr>
      </w:pPr>
      <w:r>
        <w:rPr>
          <w:rFonts w:hint="eastAsia" w:cs="仿宋_GB2312"/>
          <w:color w:val="auto"/>
          <w:sz w:val="24"/>
          <w:szCs w:val="24"/>
        </w:rPr>
        <w:t>（5）在招标文件中未提到的影响最终使用功能的附件及材料，若投标单位未另加说明，则默认包含在投标报价中。</w:t>
      </w:r>
    </w:p>
    <w:p w14:paraId="3DD2B8E0">
      <w:pPr>
        <w:pStyle w:val="17"/>
        <w:widowControl w:val="0"/>
        <w:adjustRightInd w:val="0"/>
        <w:snapToGrid w:val="0"/>
        <w:spacing w:before="0" w:beforeAutospacing="0" w:after="0" w:afterAutospacing="0" w:line="360" w:lineRule="auto"/>
        <w:ind w:firstLine="480" w:firstLineChars="200"/>
        <w:rPr>
          <w:rFonts w:cs="仿宋_GB2312"/>
          <w:color w:val="auto"/>
          <w:sz w:val="24"/>
          <w:szCs w:val="24"/>
        </w:rPr>
      </w:pPr>
      <w:r>
        <w:rPr>
          <w:rFonts w:hint="eastAsia" w:cs="仿宋_GB2312"/>
          <w:color w:val="auto"/>
          <w:sz w:val="24"/>
          <w:szCs w:val="24"/>
        </w:rPr>
        <w:t>（6）分项报价表中的单价均为完全费率综合单价，以此作为变更增减的计算依据。</w:t>
      </w:r>
    </w:p>
    <w:p w14:paraId="0AC29052">
      <w:pPr>
        <w:pStyle w:val="17"/>
        <w:widowControl w:val="0"/>
        <w:adjustRightInd w:val="0"/>
        <w:snapToGrid w:val="0"/>
        <w:spacing w:before="0" w:beforeAutospacing="0" w:after="0" w:afterAutospacing="0" w:line="360" w:lineRule="auto"/>
        <w:ind w:firstLine="480" w:firstLineChars="200"/>
        <w:rPr>
          <w:rFonts w:cs="仿宋_GB2312"/>
          <w:color w:val="auto"/>
          <w:sz w:val="24"/>
          <w:szCs w:val="24"/>
        </w:rPr>
      </w:pPr>
      <w:r>
        <w:rPr>
          <w:rFonts w:hint="eastAsia" w:cs="仿宋_GB2312"/>
          <w:color w:val="auto"/>
          <w:sz w:val="24"/>
          <w:szCs w:val="24"/>
        </w:rPr>
        <w:t>（7）投标单位在投标书中应明确产品质量保证期限（不少于</w:t>
      </w:r>
      <w:r>
        <w:rPr>
          <w:rFonts w:hint="eastAsia" w:cs="仿宋_GB2312"/>
          <w:color w:val="auto"/>
          <w:sz w:val="24"/>
          <w:szCs w:val="24"/>
          <w:lang w:val="en-US" w:eastAsia="zh-CN"/>
        </w:rPr>
        <w:t>五</w:t>
      </w:r>
      <w:r>
        <w:rPr>
          <w:rFonts w:hint="eastAsia" w:cs="仿宋_GB2312"/>
          <w:color w:val="auto"/>
          <w:sz w:val="24"/>
          <w:szCs w:val="24"/>
        </w:rPr>
        <w:t>年质保期）及服务承诺。</w:t>
      </w:r>
    </w:p>
    <w:p w14:paraId="46E9C696">
      <w:pPr>
        <w:pStyle w:val="17"/>
        <w:widowControl w:val="0"/>
        <w:adjustRightInd w:val="0"/>
        <w:snapToGrid w:val="0"/>
        <w:spacing w:before="0" w:beforeAutospacing="0" w:after="0" w:afterAutospacing="0" w:line="360" w:lineRule="auto"/>
        <w:ind w:firstLine="480" w:firstLineChars="200"/>
        <w:rPr>
          <w:rFonts w:cs="仿宋_GB2312"/>
          <w:color w:val="auto"/>
          <w:sz w:val="24"/>
          <w:szCs w:val="24"/>
        </w:rPr>
      </w:pPr>
      <w:r>
        <w:rPr>
          <w:rFonts w:hint="eastAsia" w:cs="仿宋_GB2312"/>
          <w:color w:val="auto"/>
          <w:sz w:val="24"/>
          <w:szCs w:val="24"/>
        </w:rPr>
        <w:t>（8）提供本项目中涉及的相关</w:t>
      </w:r>
      <w:r>
        <w:rPr>
          <w:rFonts w:cs="仿宋_GB2312"/>
          <w:color w:val="auto"/>
          <w:sz w:val="24"/>
          <w:szCs w:val="24"/>
        </w:rPr>
        <w:t>技术文件、</w:t>
      </w:r>
      <w:r>
        <w:rPr>
          <w:rFonts w:hint="eastAsia" w:cs="仿宋_GB2312"/>
          <w:color w:val="auto"/>
          <w:sz w:val="24"/>
          <w:szCs w:val="24"/>
        </w:rPr>
        <w:t>说明书、合格证、验收资料</w:t>
      </w:r>
      <w:r>
        <w:rPr>
          <w:rFonts w:cs="仿宋_GB2312"/>
          <w:color w:val="auto"/>
          <w:sz w:val="24"/>
          <w:szCs w:val="24"/>
        </w:rPr>
        <w:t>及</w:t>
      </w:r>
      <w:r>
        <w:rPr>
          <w:rFonts w:hint="eastAsia" w:cs="仿宋_GB2312"/>
          <w:color w:val="auto"/>
          <w:sz w:val="24"/>
          <w:szCs w:val="24"/>
        </w:rPr>
        <w:t>免费的人员</w:t>
      </w:r>
      <w:r>
        <w:rPr>
          <w:rFonts w:cs="仿宋_GB2312"/>
          <w:color w:val="auto"/>
          <w:sz w:val="24"/>
          <w:szCs w:val="24"/>
        </w:rPr>
        <w:t>技术培训</w:t>
      </w:r>
      <w:r>
        <w:rPr>
          <w:rFonts w:hint="eastAsia" w:cs="仿宋_GB2312"/>
          <w:color w:val="auto"/>
          <w:sz w:val="24"/>
          <w:szCs w:val="24"/>
        </w:rPr>
        <w:t>等</w:t>
      </w:r>
      <w:r>
        <w:rPr>
          <w:rFonts w:cs="仿宋_GB2312"/>
          <w:color w:val="auto"/>
          <w:sz w:val="24"/>
          <w:szCs w:val="24"/>
        </w:rPr>
        <w:t>。</w:t>
      </w:r>
    </w:p>
    <w:p w14:paraId="0AC50F7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（9）本项目为交钥匙工程，投标单位必须结合现场按照设计图纸进行安装、调试，包括完成本项目所必需的，但未提及的内容。</w:t>
      </w:r>
    </w:p>
    <w:p w14:paraId="5B789471">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（10）谈判报价的币种以人民币报价。</w:t>
      </w:r>
    </w:p>
    <w:p w14:paraId="7B70AD8F">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5、投标人资格证明文件</w:t>
      </w:r>
    </w:p>
    <w:p w14:paraId="0337D3E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（1）投标人有效的营业执照</w:t>
      </w:r>
      <w:r>
        <w:rPr>
          <w:rFonts w:hint="eastAsia" w:cs="仿宋_GB2312"/>
          <w:color w:val="auto"/>
          <w:sz w:val="24"/>
          <w:szCs w:val="24"/>
          <w:lang w:eastAsia="zh-CN"/>
        </w:rPr>
        <w:t>（</w:t>
      </w:r>
      <w:r>
        <w:rPr>
          <w:rFonts w:hint="eastAsia" w:cs="仿宋_GB2312"/>
          <w:color w:val="auto"/>
          <w:sz w:val="24"/>
          <w:szCs w:val="24"/>
        </w:rPr>
        <w:t>三证合一</w:t>
      </w:r>
      <w:r>
        <w:rPr>
          <w:rFonts w:hint="eastAsia" w:cs="仿宋_GB2312"/>
          <w:color w:val="auto"/>
          <w:sz w:val="24"/>
          <w:szCs w:val="24"/>
          <w:lang w:eastAsia="zh-CN"/>
        </w:rPr>
        <w:t>）</w:t>
      </w:r>
      <w:r>
        <w:rPr>
          <w:rFonts w:hint="eastAsia" w:cs="仿宋_GB2312"/>
          <w:color w:val="auto"/>
          <w:sz w:val="24"/>
          <w:szCs w:val="24"/>
        </w:rPr>
        <w:t>等相关证明文件。</w:t>
      </w:r>
    </w:p>
    <w:p w14:paraId="46BEEBF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（2）法定代表人授权书（原件）；</w:t>
      </w:r>
    </w:p>
    <w:p w14:paraId="46DBFCD5">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（3）授权代表人身份证（复印件）；</w:t>
      </w:r>
    </w:p>
    <w:p w14:paraId="05B338EE">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（4）投标人认为有必要提供的声明及文件；</w:t>
      </w:r>
    </w:p>
    <w:p w14:paraId="3B48C7FF">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 xml:space="preserve">（5）竞标企业近三年财务报表（资产负债表和损益表）； </w:t>
      </w:r>
    </w:p>
    <w:p w14:paraId="44741421">
      <w:pPr>
        <w:pStyle w:val="17"/>
        <w:widowControl w:val="0"/>
        <w:adjustRightInd w:val="0"/>
        <w:snapToGrid w:val="0"/>
        <w:spacing w:before="0" w:beforeAutospacing="0" w:after="0" w:afterAutospacing="0" w:line="360" w:lineRule="auto"/>
        <w:ind w:firstLine="480" w:firstLineChars="200"/>
        <w:rPr>
          <w:rFonts w:hint="eastAsia" w:eastAsia="宋体" w:cs="仿宋_GB2312"/>
          <w:color w:val="auto"/>
          <w:sz w:val="24"/>
          <w:szCs w:val="24"/>
          <w:lang w:eastAsia="zh-CN"/>
        </w:rPr>
      </w:pPr>
      <w:r>
        <w:rPr>
          <w:rFonts w:hint="eastAsia" w:cs="仿宋_GB2312"/>
          <w:color w:val="auto"/>
          <w:sz w:val="24"/>
          <w:szCs w:val="24"/>
        </w:rPr>
        <w:t>（6）企业经营业绩</w:t>
      </w:r>
      <w:r>
        <w:rPr>
          <w:rFonts w:hint="eastAsia" w:cs="仿宋_GB2312"/>
          <w:color w:val="auto"/>
          <w:sz w:val="24"/>
          <w:szCs w:val="24"/>
          <w:lang w:eastAsia="zh-CN"/>
        </w:rPr>
        <w:t>（</w:t>
      </w:r>
      <w:r>
        <w:rPr>
          <w:rFonts w:hint="eastAsia" w:ascii="宋体" w:hAnsi="宋体" w:cs="宋体"/>
          <w:color w:val="auto"/>
          <w:kern w:val="0"/>
          <w:sz w:val="24"/>
          <w:lang w:val="en-US" w:eastAsia="zh-CN"/>
        </w:rPr>
        <w:t>投标人自2020年1月1日以来（以合同签订时间为准），具有楼体发光字（发光字安装高度40米及以上）同类项目且合同金额人民币10万元及以上供货安装业绩</w:t>
      </w:r>
      <w:r>
        <w:rPr>
          <w:rFonts w:hint="eastAsia" w:cs="仿宋_GB2312"/>
          <w:color w:val="auto"/>
          <w:sz w:val="24"/>
          <w:szCs w:val="24"/>
          <w:lang w:eastAsia="zh-CN"/>
        </w:rPr>
        <w:t>）。</w:t>
      </w:r>
    </w:p>
    <w:p w14:paraId="059B76BE">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标书正本中以上复印件均应加盖投标人公章，副本提供加盖公章的复印件。</w:t>
      </w:r>
    </w:p>
    <w:p w14:paraId="1977BBA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6、谈判物资符合采购文件规定的技术响应文件</w:t>
      </w:r>
    </w:p>
    <w:p w14:paraId="09ABCFB0">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（1）投标人必须依据采购文件中采购项目要求及技术规格的要求逐条说明谈判物资的适用性。</w:t>
      </w:r>
    </w:p>
    <w:p w14:paraId="2E32D802">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（2）投标人必须提交其所谈判物资和服务符合采购文件的技术响应文件。该文件可以是文字资料、图纸和数据。</w:t>
      </w:r>
    </w:p>
    <w:p w14:paraId="4246CA6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7、谈判文件的有效期</w:t>
      </w:r>
    </w:p>
    <w:p w14:paraId="5F49F216">
      <w:pPr>
        <w:adjustRightInd w:val="0"/>
        <w:snapToGrid w:val="0"/>
        <w:spacing w:line="360" w:lineRule="auto"/>
        <w:ind w:firstLine="480" w:firstLineChars="200"/>
        <w:rPr>
          <w:rFonts w:hint="eastAsia" w:ascii="宋体" w:hAnsi="宋体" w:cs="仿宋_GB2312"/>
          <w:color w:val="auto"/>
          <w:kern w:val="0"/>
          <w:sz w:val="24"/>
        </w:rPr>
      </w:pPr>
      <w:r>
        <w:rPr>
          <w:rFonts w:hint="eastAsia" w:ascii="宋体" w:hAnsi="宋体" w:cs="仿宋_GB2312"/>
          <w:color w:val="auto"/>
          <w:kern w:val="0"/>
          <w:sz w:val="24"/>
        </w:rPr>
        <w:t>（1）谈判文件自谈判之日起90日内有效。</w:t>
      </w:r>
    </w:p>
    <w:p w14:paraId="6FB648F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olor w:val="auto"/>
          <w:sz w:val="24"/>
          <w:szCs w:val="24"/>
        </w:rPr>
        <w:t>（2）特殊情况下</w:t>
      </w:r>
      <w:r>
        <w:rPr>
          <w:color w:val="auto"/>
          <w:sz w:val="24"/>
          <w:szCs w:val="24"/>
        </w:rPr>
        <w:t>,</w:t>
      </w:r>
      <w:r>
        <w:rPr>
          <w:rFonts w:hint="eastAsia"/>
          <w:color w:val="auto"/>
          <w:sz w:val="24"/>
          <w:szCs w:val="24"/>
        </w:rPr>
        <w:t>在原谈判有效期内</w:t>
      </w:r>
      <w:r>
        <w:rPr>
          <w:color w:val="auto"/>
          <w:sz w:val="24"/>
          <w:szCs w:val="24"/>
        </w:rPr>
        <w:t>,</w:t>
      </w:r>
      <w:r>
        <w:rPr>
          <w:rFonts w:hint="eastAsia"/>
          <w:color w:val="auto"/>
          <w:sz w:val="24"/>
          <w:szCs w:val="24"/>
        </w:rPr>
        <w:t>采购人可征得投标人同意延长谈判有效期。这种要求与答复均应以书面形式进行，如邮寄原件、电子邮件、扫描、传真等。</w:t>
      </w:r>
    </w:p>
    <w:p w14:paraId="6585E29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8、谈判文件的签署及装订</w:t>
      </w:r>
    </w:p>
    <w:p w14:paraId="5D5A1BC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（1）谈判文件正本和副本须打印并装订成册。</w:t>
      </w:r>
    </w:p>
    <w:p w14:paraId="7BBD6B8C">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（2）谈判文件需使用不褪色黑色字体打印，书写应清楚工整，修改部分应由投标人或其授权代表签字并加盖公章。</w:t>
      </w:r>
    </w:p>
    <w:p w14:paraId="48408C81">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（3）字迹潦草、表达不清、未按要求填写或可能导致非唯一理解的谈判文件可能被定为废标。</w:t>
      </w:r>
    </w:p>
    <w:p w14:paraId="29F1A86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（4）谈判文件应有法定代表人或投标人授权代表在规定签章处逐一签署并加盖投标人公章。</w:t>
      </w:r>
    </w:p>
    <w:p w14:paraId="7E709B29">
      <w:pPr>
        <w:pStyle w:val="17"/>
        <w:widowControl w:val="0"/>
        <w:adjustRightInd w:val="0"/>
        <w:snapToGrid w:val="0"/>
        <w:spacing w:before="0" w:beforeAutospacing="0" w:after="0" w:afterAutospacing="0" w:line="360" w:lineRule="auto"/>
        <w:ind w:firstLine="480" w:firstLineChars="200"/>
        <w:rPr>
          <w:rFonts w:hint="eastAsia"/>
          <w:color w:val="auto"/>
          <w:sz w:val="24"/>
          <w:szCs w:val="24"/>
        </w:rPr>
      </w:pPr>
      <w:r>
        <w:rPr>
          <w:rFonts w:hint="eastAsia" w:cs="仿宋_GB2312"/>
          <w:color w:val="auto"/>
          <w:sz w:val="24"/>
          <w:szCs w:val="24"/>
        </w:rPr>
        <w:t>（5）谈判文件的份数：一式</w:t>
      </w:r>
      <w:r>
        <w:rPr>
          <w:rFonts w:hint="eastAsia" w:cs="仿宋_GB2312"/>
          <w:color w:val="auto"/>
          <w:sz w:val="24"/>
          <w:szCs w:val="24"/>
          <w:lang w:val="en-US" w:eastAsia="zh-CN"/>
        </w:rPr>
        <w:t>三</w:t>
      </w:r>
      <w:r>
        <w:rPr>
          <w:rFonts w:hint="eastAsia" w:cs="仿宋_GB2312"/>
          <w:color w:val="auto"/>
          <w:sz w:val="24"/>
          <w:szCs w:val="24"/>
        </w:rPr>
        <w:t>份，其中正本1份，副本</w:t>
      </w:r>
      <w:r>
        <w:rPr>
          <w:rFonts w:hint="eastAsia" w:cs="仿宋_GB2312"/>
          <w:color w:val="auto"/>
          <w:sz w:val="24"/>
          <w:szCs w:val="24"/>
          <w:lang w:val="en-US" w:eastAsia="zh-CN"/>
        </w:rPr>
        <w:t>2</w:t>
      </w:r>
      <w:r>
        <w:rPr>
          <w:rFonts w:hint="eastAsia" w:cs="仿宋_GB2312"/>
          <w:color w:val="auto"/>
          <w:sz w:val="24"/>
          <w:szCs w:val="24"/>
        </w:rPr>
        <w:t>份，并在谈判文件的封面上注明“正本”、“副本”字样，</w:t>
      </w:r>
      <w:r>
        <w:rPr>
          <w:rFonts w:hint="eastAsia"/>
          <w:color w:val="auto"/>
          <w:sz w:val="24"/>
          <w:szCs w:val="24"/>
        </w:rPr>
        <w:t>正本与副本不符的以正本为准</w:t>
      </w:r>
      <w:r>
        <w:rPr>
          <w:rFonts w:hint="eastAsia"/>
          <w:color w:val="auto"/>
          <w:sz w:val="24"/>
          <w:szCs w:val="24"/>
          <w:lang w:eastAsia="zh-CN"/>
        </w:rPr>
        <w:t>，</w:t>
      </w:r>
      <w:r>
        <w:rPr>
          <w:rFonts w:hint="eastAsia"/>
          <w:color w:val="auto"/>
          <w:sz w:val="24"/>
          <w:szCs w:val="24"/>
          <w:lang w:val="en-US" w:eastAsia="zh-CN"/>
        </w:rPr>
        <w:t>副本可为正本复印件</w:t>
      </w:r>
      <w:r>
        <w:rPr>
          <w:rFonts w:hint="eastAsia"/>
          <w:color w:val="auto"/>
          <w:sz w:val="24"/>
          <w:szCs w:val="24"/>
        </w:rPr>
        <w:t>。</w:t>
      </w:r>
    </w:p>
    <w:p w14:paraId="4F6BB448">
      <w:pPr>
        <w:pStyle w:val="17"/>
        <w:widowControl w:val="0"/>
        <w:adjustRightInd w:val="0"/>
        <w:snapToGrid w:val="0"/>
        <w:spacing w:before="0" w:beforeAutospacing="0" w:after="0" w:afterAutospacing="0" w:line="360" w:lineRule="auto"/>
        <w:ind w:firstLine="480" w:firstLineChars="200"/>
        <w:rPr>
          <w:rFonts w:hint="eastAsia" w:cs="仿宋_GB2312"/>
          <w:b/>
          <w:color w:val="auto"/>
          <w:sz w:val="24"/>
          <w:szCs w:val="24"/>
        </w:rPr>
      </w:pPr>
      <w:r>
        <w:rPr>
          <w:rFonts w:hint="eastAsia" w:cs="仿宋_GB2312"/>
          <w:color w:val="auto"/>
          <w:sz w:val="24"/>
          <w:szCs w:val="24"/>
        </w:rPr>
        <w:t xml:space="preserve"> </w:t>
      </w:r>
      <w:r>
        <w:rPr>
          <w:rFonts w:hint="eastAsia" w:cs="仿宋_GB2312"/>
          <w:b/>
          <w:bCs/>
          <w:color w:val="auto"/>
          <w:sz w:val="24"/>
          <w:szCs w:val="24"/>
        </w:rPr>
        <w:t>四、谈判文件的递交</w:t>
      </w:r>
    </w:p>
    <w:p w14:paraId="280E82C8">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 xml:space="preserve"> 1、谈判文件的密封与标记</w:t>
      </w:r>
    </w:p>
    <w:p w14:paraId="0008C7D3">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（1）投标人应将谈判文件正本和副本分别装入文件袋内加以密封，并在封签处加盖投标人公章（或谈判专用章）。</w:t>
      </w:r>
    </w:p>
    <w:p w14:paraId="1FF4D3E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（2）谈判的文件袋封条上应写明：</w:t>
      </w:r>
    </w:p>
    <w:p w14:paraId="138E16D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 xml:space="preserve"> ①采购项目名称；</w:t>
      </w:r>
    </w:p>
    <w:p w14:paraId="36FA4D57">
      <w:pPr>
        <w:pStyle w:val="17"/>
        <w:widowControl w:val="0"/>
        <w:adjustRightInd w:val="0"/>
        <w:snapToGrid w:val="0"/>
        <w:spacing w:before="0" w:beforeAutospacing="0" w:after="0" w:afterAutospacing="0" w:line="360" w:lineRule="auto"/>
        <w:ind w:firstLine="600" w:firstLineChars="250"/>
        <w:rPr>
          <w:rFonts w:hint="eastAsia" w:cs="仿宋_GB2312"/>
          <w:color w:val="auto"/>
          <w:sz w:val="24"/>
          <w:szCs w:val="24"/>
        </w:rPr>
      </w:pPr>
      <w:r>
        <w:rPr>
          <w:rFonts w:hint="eastAsia" w:cs="仿宋_GB2312"/>
          <w:color w:val="auto"/>
          <w:sz w:val="24"/>
          <w:szCs w:val="24"/>
        </w:rPr>
        <w:t>②竞标企业名称和地址；</w:t>
      </w:r>
    </w:p>
    <w:p w14:paraId="66399B6A">
      <w:pPr>
        <w:pStyle w:val="17"/>
        <w:widowControl w:val="0"/>
        <w:adjustRightInd w:val="0"/>
        <w:snapToGrid w:val="0"/>
        <w:spacing w:before="0" w:beforeAutospacing="0" w:after="0" w:afterAutospacing="0" w:line="360" w:lineRule="auto"/>
        <w:ind w:firstLine="600" w:firstLineChars="250"/>
        <w:rPr>
          <w:rFonts w:hint="eastAsia" w:cs="仿宋_GB2312"/>
          <w:color w:val="auto"/>
          <w:sz w:val="24"/>
          <w:szCs w:val="24"/>
        </w:rPr>
      </w:pPr>
      <w:r>
        <w:rPr>
          <w:rFonts w:hint="eastAsia" w:cs="仿宋_GB2312"/>
          <w:color w:val="auto"/>
          <w:sz w:val="24"/>
          <w:szCs w:val="24"/>
        </w:rPr>
        <w:t>③“正本”、“副本”应注明“谈判时启封”。</w:t>
      </w:r>
    </w:p>
    <w:p w14:paraId="2169A321">
      <w:pPr>
        <w:pStyle w:val="17"/>
        <w:widowControl w:val="0"/>
        <w:adjustRightInd w:val="0"/>
        <w:snapToGrid w:val="0"/>
        <w:spacing w:before="0" w:beforeAutospacing="0" w:after="0" w:afterAutospacing="0" w:line="360" w:lineRule="auto"/>
        <w:ind w:firstLine="480" w:firstLineChars="200"/>
        <w:rPr>
          <w:rFonts w:hint="eastAsia" w:cs="仿宋_GB2312"/>
          <w:bCs/>
          <w:color w:val="auto"/>
          <w:sz w:val="24"/>
          <w:szCs w:val="24"/>
        </w:rPr>
      </w:pPr>
      <w:r>
        <w:rPr>
          <w:rFonts w:hint="eastAsia" w:cs="仿宋_GB2312"/>
          <w:bCs/>
          <w:color w:val="auto"/>
          <w:sz w:val="24"/>
          <w:szCs w:val="24"/>
        </w:rPr>
        <w:t>（4）为方便采购人查验谈判授权代表人身份，授权代表人应随身携带身份证原件、法定代表人授权书等资质证明文件备查。</w:t>
      </w:r>
    </w:p>
    <w:p w14:paraId="76711BD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2、谈判截止日期</w:t>
      </w:r>
    </w:p>
    <w:p w14:paraId="702AE93C">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（1）投标人必须在采购文件规定的谈判截止时间前送达指定的谈判地址。</w:t>
      </w:r>
    </w:p>
    <w:p w14:paraId="2EC4C8A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（2）采购人推迟谈判截止日期时，将以书面文件、传真、电子邮件的其中一种形式通知所有投标人。</w:t>
      </w:r>
    </w:p>
    <w:p w14:paraId="4A46A17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（3）在谈判截止时间以后送达的谈判文件，采购人拒绝接收。</w:t>
      </w:r>
    </w:p>
    <w:p w14:paraId="6A7A71AE">
      <w:pPr>
        <w:spacing w:line="360" w:lineRule="auto"/>
        <w:ind w:firstLine="472" w:firstLineChars="196"/>
        <w:rPr>
          <w:rFonts w:hint="eastAsia" w:cs="仿宋_GB2312"/>
          <w:b/>
          <w:color w:val="auto"/>
          <w:sz w:val="24"/>
        </w:rPr>
      </w:pPr>
      <w:r>
        <w:rPr>
          <w:rFonts w:hint="eastAsia" w:cs="仿宋_GB2312"/>
          <w:b/>
          <w:bCs/>
          <w:color w:val="auto"/>
          <w:sz w:val="24"/>
        </w:rPr>
        <w:t>五、谈判及评议</w:t>
      </w:r>
    </w:p>
    <w:p w14:paraId="20DAC433">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1、谈判</w:t>
      </w:r>
    </w:p>
    <w:p w14:paraId="1C911240">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w:t>
      </w:r>
      <w:r>
        <w:rPr>
          <w:rFonts w:cs="仿宋_GB2312"/>
          <w:color w:val="auto"/>
          <w:sz w:val="24"/>
          <w:szCs w:val="24"/>
        </w:rPr>
        <w:t>）</w:t>
      </w:r>
      <w:r>
        <w:rPr>
          <w:rFonts w:hint="eastAsia" w:cs="仿宋_GB2312"/>
          <w:color w:val="auto"/>
          <w:sz w:val="24"/>
          <w:szCs w:val="24"/>
        </w:rPr>
        <w:t>采购人根据采购文件规定的时间、地点进行唱标，届时投标人授权代表应参加谈判大会，参加谈判大会的代表应在谈判30分钟前签到，以证明其出席会议。</w:t>
      </w:r>
    </w:p>
    <w:p w14:paraId="1D26E8E3">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2、评议</w:t>
      </w:r>
    </w:p>
    <w:p w14:paraId="1005D5A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（1）采购人根据采购</w:t>
      </w:r>
      <w:r>
        <w:rPr>
          <w:rFonts w:hint="eastAsia" w:cs="仿宋_GB2312"/>
          <w:color w:val="auto"/>
          <w:sz w:val="24"/>
          <w:szCs w:val="24"/>
          <w:lang w:val="en-US" w:eastAsia="zh-CN"/>
        </w:rPr>
        <w:t>项目</w:t>
      </w:r>
      <w:r>
        <w:rPr>
          <w:rFonts w:hint="eastAsia" w:cs="仿宋_GB2312"/>
          <w:color w:val="auto"/>
          <w:sz w:val="24"/>
          <w:szCs w:val="24"/>
        </w:rPr>
        <w:t>的特点组建评议小组。评议小组由公司管理、经济</w:t>
      </w:r>
      <w:r>
        <w:rPr>
          <w:rFonts w:hint="eastAsia" w:cs="仿宋_GB2312"/>
          <w:color w:val="auto"/>
          <w:sz w:val="24"/>
          <w:szCs w:val="24"/>
          <w:lang w:eastAsia="zh-CN"/>
        </w:rPr>
        <w:t>、</w:t>
      </w:r>
      <w:r>
        <w:rPr>
          <w:rFonts w:hint="eastAsia" w:cs="仿宋_GB2312"/>
          <w:color w:val="auto"/>
          <w:sz w:val="24"/>
          <w:szCs w:val="24"/>
          <w:lang w:val="en-US" w:eastAsia="zh-CN"/>
        </w:rPr>
        <w:t>技术</w:t>
      </w:r>
      <w:r>
        <w:rPr>
          <w:rFonts w:hint="eastAsia" w:cs="仿宋_GB2312"/>
          <w:color w:val="auto"/>
          <w:sz w:val="24"/>
          <w:szCs w:val="24"/>
        </w:rPr>
        <w:t>等有关方面的专家组成。评议小组在本公司监察审计部门的监督下开展工作。</w:t>
      </w:r>
    </w:p>
    <w:p w14:paraId="033A304F">
      <w:pPr>
        <w:spacing w:line="360" w:lineRule="auto"/>
        <w:ind w:firstLine="480" w:firstLineChars="200"/>
        <w:rPr>
          <w:rFonts w:ascii="宋体" w:hAnsi="宋体"/>
          <w:color w:val="auto"/>
          <w:sz w:val="24"/>
        </w:rPr>
      </w:pPr>
      <w:r>
        <w:rPr>
          <w:rFonts w:hint="eastAsia" w:ascii="宋体" w:hAnsi="宋体"/>
          <w:color w:val="auto"/>
          <w:sz w:val="24"/>
        </w:rPr>
        <w:t>（2）评议过程的保密性</w:t>
      </w:r>
    </w:p>
    <w:p w14:paraId="459E20DE">
      <w:pPr>
        <w:spacing w:line="360" w:lineRule="auto"/>
        <w:ind w:firstLine="600" w:firstLineChars="250"/>
        <w:rPr>
          <w:rFonts w:ascii="宋体" w:hAnsi="宋体"/>
          <w:color w:val="auto"/>
          <w:sz w:val="24"/>
        </w:rPr>
      </w:pPr>
      <w:r>
        <w:rPr>
          <w:rFonts w:hint="eastAsia" w:ascii="宋体" w:hAnsi="宋体"/>
          <w:color w:val="auto"/>
          <w:sz w:val="24"/>
        </w:rPr>
        <w:t>①唱标后</w:t>
      </w:r>
      <w:r>
        <w:rPr>
          <w:rFonts w:ascii="宋体" w:hAnsi="宋体"/>
          <w:color w:val="auto"/>
          <w:sz w:val="24"/>
        </w:rPr>
        <w:t>,</w:t>
      </w:r>
      <w:r>
        <w:rPr>
          <w:rFonts w:hint="eastAsia" w:ascii="宋体" w:hAnsi="宋体"/>
          <w:color w:val="auto"/>
          <w:sz w:val="24"/>
        </w:rPr>
        <w:t>直到向成交的投标人授予合同时止</w:t>
      </w:r>
      <w:r>
        <w:rPr>
          <w:rFonts w:ascii="宋体" w:hAnsi="宋体"/>
          <w:color w:val="auto"/>
          <w:sz w:val="24"/>
        </w:rPr>
        <w:t>,</w:t>
      </w:r>
      <w:r>
        <w:rPr>
          <w:rFonts w:hint="eastAsia" w:ascii="宋体" w:hAnsi="宋体"/>
          <w:color w:val="auto"/>
          <w:sz w:val="24"/>
        </w:rPr>
        <w:t>凡与审查、澄清、评价和比较谈判的有关资料以及授标意见等</w:t>
      </w:r>
      <w:r>
        <w:rPr>
          <w:rFonts w:ascii="宋体" w:hAnsi="宋体"/>
          <w:color w:val="auto"/>
          <w:sz w:val="24"/>
        </w:rPr>
        <w:t>,</w:t>
      </w:r>
      <w:r>
        <w:rPr>
          <w:rFonts w:hint="eastAsia" w:ascii="宋体" w:hAnsi="宋体"/>
          <w:color w:val="auto"/>
          <w:sz w:val="24"/>
        </w:rPr>
        <w:t>均不得向投标人及与评议无关的其他人透露。</w:t>
      </w:r>
    </w:p>
    <w:p w14:paraId="4203F04C">
      <w:pPr>
        <w:spacing w:line="360" w:lineRule="auto"/>
        <w:ind w:firstLine="600" w:firstLineChars="250"/>
        <w:rPr>
          <w:rFonts w:ascii="宋体" w:hAnsi="宋体"/>
          <w:color w:val="auto"/>
          <w:sz w:val="24"/>
        </w:rPr>
      </w:pPr>
      <w:r>
        <w:rPr>
          <w:rFonts w:hint="eastAsia" w:ascii="宋体" w:hAnsi="宋体"/>
          <w:color w:val="auto"/>
          <w:sz w:val="24"/>
        </w:rPr>
        <w:t>②在评议过程中</w:t>
      </w:r>
      <w:r>
        <w:rPr>
          <w:rFonts w:ascii="宋体" w:hAnsi="宋体"/>
          <w:color w:val="auto"/>
          <w:sz w:val="24"/>
        </w:rPr>
        <w:t>,</w:t>
      </w:r>
      <w:r>
        <w:rPr>
          <w:rFonts w:hint="eastAsia" w:ascii="宋体" w:hAnsi="宋体"/>
          <w:color w:val="auto"/>
          <w:sz w:val="24"/>
        </w:rPr>
        <w:t>如果投标人试图在谈判文件审查、澄清、比较及授予合同方面向采购人施加任何影响</w:t>
      </w:r>
      <w:r>
        <w:rPr>
          <w:rFonts w:ascii="宋体" w:hAnsi="宋体"/>
          <w:color w:val="auto"/>
          <w:sz w:val="24"/>
        </w:rPr>
        <w:t>,</w:t>
      </w:r>
      <w:r>
        <w:rPr>
          <w:rFonts w:hint="eastAsia" w:ascii="宋体" w:hAnsi="宋体"/>
          <w:color w:val="auto"/>
          <w:sz w:val="24"/>
        </w:rPr>
        <w:t>其谈判将被拒绝。</w:t>
      </w:r>
    </w:p>
    <w:p w14:paraId="6C2013E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（3）谈判文件的澄清</w:t>
      </w:r>
    </w:p>
    <w:p w14:paraId="62E479FC">
      <w:pPr>
        <w:pStyle w:val="17"/>
        <w:widowControl w:val="0"/>
        <w:adjustRightInd w:val="0"/>
        <w:snapToGrid w:val="0"/>
        <w:spacing w:before="0" w:beforeAutospacing="0" w:after="0" w:afterAutospacing="0" w:line="360" w:lineRule="auto"/>
        <w:ind w:firstLine="600" w:firstLineChars="250"/>
        <w:rPr>
          <w:rFonts w:hint="eastAsia" w:cs="仿宋_GB2312"/>
          <w:color w:val="auto"/>
          <w:sz w:val="24"/>
          <w:szCs w:val="24"/>
        </w:rPr>
      </w:pPr>
      <w:r>
        <w:rPr>
          <w:rFonts w:hint="eastAsia" w:cs="仿宋_GB2312"/>
          <w:color w:val="auto"/>
          <w:sz w:val="24"/>
          <w:szCs w:val="24"/>
        </w:rPr>
        <w:t>①为有助于谈判文件的评审，评议小组有权请投标人就谈判文件中的有关问题予以说明和澄清，投标人有责任按照采购人通知的时间地点派专人进行答疑。</w:t>
      </w:r>
    </w:p>
    <w:p w14:paraId="05204457">
      <w:pPr>
        <w:pStyle w:val="17"/>
        <w:widowControl w:val="0"/>
        <w:adjustRightInd w:val="0"/>
        <w:snapToGrid w:val="0"/>
        <w:spacing w:before="0" w:beforeAutospacing="0" w:after="0" w:afterAutospacing="0" w:line="360" w:lineRule="auto"/>
        <w:ind w:firstLine="600" w:firstLineChars="250"/>
        <w:rPr>
          <w:rFonts w:hint="eastAsia" w:cs="仿宋_GB2312"/>
          <w:color w:val="auto"/>
          <w:sz w:val="24"/>
          <w:szCs w:val="24"/>
        </w:rPr>
      </w:pPr>
      <w:r>
        <w:rPr>
          <w:rFonts w:hint="eastAsia" w:cs="仿宋_GB2312"/>
          <w:color w:val="auto"/>
          <w:sz w:val="24"/>
          <w:szCs w:val="24"/>
        </w:rPr>
        <w:t>②投标人对要求说明和澄清的问题应以书面形式明确答复，并由投标人授权代表签字确认。</w:t>
      </w:r>
    </w:p>
    <w:p w14:paraId="0D77DC54">
      <w:pPr>
        <w:pStyle w:val="17"/>
        <w:widowControl w:val="0"/>
        <w:adjustRightInd w:val="0"/>
        <w:snapToGrid w:val="0"/>
        <w:spacing w:before="0" w:beforeAutospacing="0" w:after="0" w:afterAutospacing="0" w:line="360" w:lineRule="auto"/>
        <w:ind w:firstLine="600" w:firstLineChars="250"/>
        <w:rPr>
          <w:rFonts w:hint="eastAsia" w:cs="仿宋_GB2312"/>
          <w:color w:val="auto"/>
          <w:sz w:val="24"/>
          <w:szCs w:val="24"/>
        </w:rPr>
      </w:pPr>
      <w:r>
        <w:rPr>
          <w:rFonts w:hint="eastAsia" w:cs="仿宋_GB2312"/>
          <w:color w:val="auto"/>
          <w:sz w:val="24"/>
          <w:szCs w:val="24"/>
        </w:rPr>
        <w:t>③投标人的澄清文件是谈判文件的组成部分。</w:t>
      </w:r>
    </w:p>
    <w:p w14:paraId="1A10B878">
      <w:pPr>
        <w:pStyle w:val="17"/>
        <w:widowControl w:val="0"/>
        <w:adjustRightInd w:val="0"/>
        <w:snapToGrid w:val="0"/>
        <w:spacing w:before="0" w:beforeAutospacing="0" w:after="0" w:afterAutospacing="0" w:line="360" w:lineRule="auto"/>
        <w:ind w:firstLine="600" w:firstLineChars="250"/>
        <w:rPr>
          <w:rFonts w:hint="eastAsia" w:cs="仿宋_GB2312"/>
          <w:color w:val="auto"/>
          <w:sz w:val="24"/>
        </w:rPr>
      </w:pPr>
      <w:r>
        <w:rPr>
          <w:rFonts w:hint="eastAsia" w:cs="仿宋_GB2312"/>
          <w:color w:val="auto"/>
          <w:sz w:val="24"/>
          <w:szCs w:val="24"/>
        </w:rPr>
        <w:t>（4）</w:t>
      </w:r>
      <w:r>
        <w:rPr>
          <w:rFonts w:hint="eastAsia" w:cs="仿宋_GB2312"/>
          <w:color w:val="auto"/>
          <w:sz w:val="24"/>
        </w:rPr>
        <w:t>谈判文件必须满足以下要求，否则将作为废标处理。</w:t>
      </w:r>
    </w:p>
    <w:p w14:paraId="014DAE76">
      <w:pPr>
        <w:pStyle w:val="17"/>
        <w:widowControl w:val="0"/>
        <w:adjustRightInd w:val="0"/>
        <w:snapToGrid w:val="0"/>
        <w:spacing w:before="0" w:beforeAutospacing="0" w:after="0" w:afterAutospacing="0" w:line="360" w:lineRule="auto"/>
        <w:ind w:firstLine="525" w:firstLineChars="250"/>
        <w:rPr>
          <w:rFonts w:hint="eastAsia" w:cs="仿宋_GB2312"/>
          <w:color w:val="auto"/>
          <w:sz w:val="24"/>
          <w:szCs w:val="24"/>
        </w:rPr>
      </w:pPr>
      <w:r>
        <w:rPr>
          <w:rFonts w:hint="eastAsia" w:cs="仿宋_GB2312"/>
          <w:color w:val="auto"/>
          <w:sz w:val="21"/>
          <w:szCs w:val="21"/>
        </w:rPr>
        <w:fldChar w:fldCharType="begin"/>
      </w:r>
      <w:r>
        <w:rPr>
          <w:rFonts w:hint="eastAsia" w:cs="仿宋_GB2312"/>
          <w:color w:val="auto"/>
          <w:sz w:val="21"/>
          <w:szCs w:val="21"/>
        </w:rPr>
        <w:instrText xml:space="preserve"> = 1 \* GB3 \* MERGEFORMAT </w:instrText>
      </w:r>
      <w:r>
        <w:rPr>
          <w:rFonts w:hint="eastAsia" w:cs="仿宋_GB2312"/>
          <w:color w:val="auto"/>
          <w:sz w:val="21"/>
          <w:szCs w:val="21"/>
        </w:rPr>
        <w:fldChar w:fldCharType="separate"/>
      </w:r>
      <w:r>
        <w:rPr>
          <w:color w:val="auto"/>
          <w:sz w:val="21"/>
          <w:szCs w:val="21"/>
        </w:rPr>
        <w:t>①</w:t>
      </w:r>
      <w:r>
        <w:rPr>
          <w:rFonts w:hint="eastAsia" w:cs="仿宋_GB2312"/>
          <w:color w:val="auto"/>
          <w:sz w:val="21"/>
          <w:szCs w:val="21"/>
        </w:rPr>
        <w:fldChar w:fldCharType="end"/>
      </w:r>
      <w:r>
        <w:rPr>
          <w:rFonts w:hint="eastAsia" w:cs="仿宋_GB2312"/>
          <w:color w:val="auto"/>
          <w:sz w:val="24"/>
          <w:szCs w:val="24"/>
        </w:rPr>
        <w:t>谈判物资的技术水平、质量、性能符合采购文件的技术要求；</w:t>
      </w:r>
    </w:p>
    <w:p w14:paraId="711F1BE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②交货期满足要求；</w:t>
      </w:r>
    </w:p>
    <w:p w14:paraId="4164950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③售后服务承诺满足要求；</w:t>
      </w:r>
    </w:p>
    <w:p w14:paraId="50B83CB5">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④安全等其他特殊要求符合行业规定；</w:t>
      </w:r>
    </w:p>
    <w:p w14:paraId="34B3382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⑤投标人的综合实力、业绩和信誉等满足采购文件规定资格条件。</w:t>
      </w:r>
    </w:p>
    <w:p w14:paraId="50035CEB">
      <w:pPr>
        <w:pStyle w:val="17"/>
        <w:widowControl w:val="0"/>
        <w:adjustRightInd w:val="0"/>
        <w:snapToGrid w:val="0"/>
        <w:spacing w:before="0" w:beforeAutospacing="0" w:after="0" w:afterAutospacing="0" w:line="360" w:lineRule="auto"/>
        <w:ind w:firstLine="472" w:firstLineChars="196"/>
        <w:rPr>
          <w:rFonts w:hint="eastAsia" w:cs="仿宋_GB2312"/>
          <w:b/>
          <w:bCs/>
          <w:color w:val="auto"/>
          <w:sz w:val="24"/>
          <w:szCs w:val="24"/>
        </w:rPr>
      </w:pPr>
      <w:r>
        <w:rPr>
          <w:rFonts w:hint="eastAsia" w:cs="仿宋_GB2312"/>
          <w:b/>
          <w:bCs/>
          <w:color w:val="auto"/>
          <w:sz w:val="24"/>
          <w:szCs w:val="24"/>
        </w:rPr>
        <w:t>六、授予合同</w:t>
      </w:r>
    </w:p>
    <w:p w14:paraId="1DE2326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1、成交通知</w:t>
      </w:r>
    </w:p>
    <w:p w14:paraId="559932D1">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（1）采购人决标委员会根据评议小组提出的书面评议报告和推荐的成交候选人决定成交人。</w:t>
      </w:r>
    </w:p>
    <w:p w14:paraId="735053A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（2）授予合同数量变更的权利：采购人在授予合同时有权对“采购物资一览表”中规定的货物数量和服务予以增加或减少。</w:t>
      </w:r>
    </w:p>
    <w:p w14:paraId="16B6B513">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（3）决标结束5日内，采购人将以书面形式向成交人发出《成交通知书》，发出时间不超过谈判有效期，《成交通知书》一经发出即产生法律效力。</w:t>
      </w:r>
    </w:p>
    <w:p w14:paraId="12663FF1">
      <w:pPr>
        <w:pStyle w:val="17"/>
        <w:widowControl w:val="0"/>
        <w:adjustRightInd w:val="0"/>
        <w:snapToGrid w:val="0"/>
        <w:spacing w:before="0" w:beforeAutospacing="0" w:after="0" w:afterAutospacing="0" w:line="360" w:lineRule="auto"/>
        <w:ind w:right="-334" w:rightChars="-159" w:firstLine="480" w:firstLineChars="200"/>
        <w:rPr>
          <w:rFonts w:hint="eastAsia" w:cs="仿宋_GB2312"/>
          <w:color w:val="auto"/>
          <w:sz w:val="24"/>
          <w:szCs w:val="24"/>
        </w:rPr>
      </w:pPr>
      <w:r>
        <w:rPr>
          <w:rFonts w:hint="eastAsia" w:cs="仿宋_GB2312"/>
          <w:color w:val="auto"/>
          <w:sz w:val="24"/>
          <w:szCs w:val="24"/>
        </w:rPr>
        <w:t>（4）《成交通知书》将作为签订合同的依据。</w:t>
      </w:r>
    </w:p>
    <w:p w14:paraId="41B79CA8">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bCs/>
          <w:color w:val="auto"/>
          <w:sz w:val="24"/>
          <w:szCs w:val="24"/>
        </w:rPr>
        <w:t>2、合同签订</w:t>
      </w:r>
    </w:p>
    <w:p w14:paraId="6B47B839">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（1）成交人收到《成交通知书》后，应按《成交通知书》中规定的时间、地点与买受人签订合同。</w:t>
      </w:r>
    </w:p>
    <w:p w14:paraId="4854443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（2）采购文件、谈判文件及评议过程中形成的书面文件均作为签订合同的依据。</w:t>
      </w:r>
    </w:p>
    <w:p w14:paraId="1277530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489F8609">
      <w:pPr>
        <w:pStyle w:val="17"/>
        <w:widowControl w:val="0"/>
        <w:adjustRightInd w:val="0"/>
        <w:snapToGrid w:val="0"/>
        <w:spacing w:before="0" w:beforeAutospacing="0" w:after="0" w:afterAutospacing="0" w:line="360" w:lineRule="auto"/>
        <w:ind w:firstLine="562" w:firstLineChars="200"/>
        <w:jc w:val="center"/>
        <w:rPr>
          <w:rFonts w:hint="eastAsia" w:cs="仿宋_GB2312"/>
          <w:b/>
          <w:bCs/>
          <w:color w:val="auto"/>
          <w:sz w:val="28"/>
          <w:szCs w:val="28"/>
        </w:rPr>
      </w:pPr>
      <w:r>
        <w:rPr>
          <w:rFonts w:hint="eastAsia" w:cs="仿宋_GB2312"/>
          <w:b/>
          <w:bCs/>
          <w:color w:val="auto"/>
          <w:sz w:val="28"/>
          <w:szCs w:val="28"/>
        </w:rPr>
        <w:t>第二部分 合同主要条款</w:t>
      </w:r>
    </w:p>
    <w:p w14:paraId="42C7D080">
      <w:pPr>
        <w:widowControl/>
        <w:spacing w:line="360" w:lineRule="auto"/>
        <w:ind w:firstLine="480" w:firstLineChars="200"/>
        <w:jc w:val="left"/>
        <w:rPr>
          <w:rFonts w:hint="eastAsia" w:ascii="宋体" w:hAnsi="宋体"/>
          <w:color w:val="auto"/>
          <w:sz w:val="24"/>
        </w:rPr>
      </w:pPr>
      <w:r>
        <w:rPr>
          <w:rFonts w:hint="eastAsia" w:ascii="宋体" w:hAnsi="宋体"/>
          <w:color w:val="auto"/>
          <w:sz w:val="24"/>
        </w:rPr>
        <w:t>1、合同定义</w:t>
      </w:r>
    </w:p>
    <w:p w14:paraId="548ACB61">
      <w:pPr>
        <w:widowControl/>
        <w:spacing w:line="360" w:lineRule="auto"/>
        <w:ind w:firstLine="480" w:firstLineChars="200"/>
        <w:jc w:val="left"/>
        <w:rPr>
          <w:rFonts w:hint="eastAsia" w:ascii="宋体" w:hAnsi="宋体"/>
          <w:color w:val="auto"/>
          <w:sz w:val="24"/>
        </w:rPr>
      </w:pPr>
      <w:r>
        <w:rPr>
          <w:rFonts w:hint="eastAsia" w:ascii="宋体" w:hAnsi="宋体"/>
          <w:color w:val="auto"/>
          <w:sz w:val="24"/>
        </w:rPr>
        <w:t>（1）“标的物</w:t>
      </w:r>
      <w:r>
        <w:rPr>
          <w:rFonts w:ascii="宋体" w:hAnsi="宋体"/>
          <w:color w:val="auto"/>
          <w:sz w:val="24"/>
        </w:rPr>
        <w:t>”</w:t>
      </w:r>
      <w:r>
        <w:rPr>
          <w:rFonts w:hint="eastAsia" w:ascii="宋体" w:hAnsi="宋体"/>
          <w:color w:val="auto"/>
          <w:sz w:val="24"/>
        </w:rPr>
        <w:t>系指出卖人根据合同规定须向买受人提供的符合买受人要求的物资。</w:t>
      </w:r>
    </w:p>
    <w:p w14:paraId="7369B010">
      <w:pPr>
        <w:widowControl/>
        <w:spacing w:line="360" w:lineRule="auto"/>
        <w:ind w:firstLine="480" w:firstLineChars="200"/>
        <w:jc w:val="left"/>
        <w:rPr>
          <w:rFonts w:ascii="宋体" w:hAnsi="宋体"/>
          <w:color w:val="auto"/>
          <w:sz w:val="24"/>
        </w:rPr>
      </w:pPr>
      <w:r>
        <w:rPr>
          <w:rFonts w:hint="eastAsia" w:ascii="宋体" w:hAnsi="宋体"/>
          <w:color w:val="auto"/>
          <w:sz w:val="24"/>
        </w:rPr>
        <w:t>（2）“买受人”系指</w:t>
      </w:r>
      <w:r>
        <w:rPr>
          <w:rFonts w:hint="eastAsia" w:ascii="宋体" w:hAnsi="宋体" w:cs="仿宋_GB2312"/>
          <w:color w:val="auto"/>
          <w:sz w:val="24"/>
        </w:rPr>
        <w:t>山西煤机装备制造有限责任公司</w:t>
      </w:r>
      <w:r>
        <w:rPr>
          <w:rFonts w:hint="eastAsia" w:ascii="宋体" w:hAnsi="宋体"/>
          <w:color w:val="auto"/>
          <w:sz w:val="24"/>
        </w:rPr>
        <w:t>。</w:t>
      </w:r>
    </w:p>
    <w:p w14:paraId="78F3E623">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（3）“</w:t>
      </w:r>
      <w:r>
        <w:rPr>
          <w:rFonts w:hint="eastAsia" w:ascii="宋体" w:hAnsi="宋体"/>
          <w:color w:val="auto"/>
          <w:sz w:val="24"/>
        </w:rPr>
        <w:t>出卖人</w:t>
      </w:r>
      <w:r>
        <w:rPr>
          <w:rFonts w:hint="eastAsia" w:ascii="宋体" w:hAnsi="宋体"/>
          <w:color w:val="auto"/>
          <w:sz w:val="24"/>
          <w:szCs w:val="24"/>
        </w:rPr>
        <w:t>”系指提供</w:t>
      </w:r>
      <w:r>
        <w:rPr>
          <w:rFonts w:hint="eastAsia" w:cs="仿宋_GB2312"/>
          <w:color w:val="auto"/>
          <w:sz w:val="24"/>
          <w:szCs w:val="24"/>
        </w:rPr>
        <w:t>物资</w:t>
      </w:r>
      <w:r>
        <w:rPr>
          <w:rFonts w:hint="eastAsia" w:ascii="宋体" w:hAnsi="宋体"/>
          <w:color w:val="auto"/>
          <w:sz w:val="24"/>
          <w:szCs w:val="24"/>
        </w:rPr>
        <w:t>和服务的公司或实体。</w:t>
      </w:r>
    </w:p>
    <w:p w14:paraId="7813C106">
      <w:pPr>
        <w:spacing w:line="360" w:lineRule="auto"/>
        <w:ind w:firstLine="480" w:firstLineChars="200"/>
        <w:rPr>
          <w:rFonts w:hint="eastAsia" w:ascii="宋体" w:hAnsi="宋体" w:cs="仿宋_GB2312"/>
          <w:color w:val="auto"/>
          <w:sz w:val="24"/>
          <w:bdr w:val="single" w:color="auto" w:sz="4" w:space="0"/>
        </w:rPr>
      </w:pPr>
      <w:r>
        <w:rPr>
          <w:rFonts w:hint="eastAsia" w:ascii="宋体" w:hAnsi="宋体"/>
          <w:color w:val="auto"/>
          <w:sz w:val="24"/>
        </w:rPr>
        <w:t>（4）“服务</w:t>
      </w:r>
      <w:r>
        <w:rPr>
          <w:rFonts w:ascii="宋体" w:hAnsi="宋体"/>
          <w:color w:val="auto"/>
          <w:sz w:val="24"/>
        </w:rPr>
        <w:t>”</w:t>
      </w:r>
      <w:r>
        <w:rPr>
          <w:rFonts w:hint="eastAsia" w:ascii="宋体" w:hAnsi="宋体"/>
          <w:color w:val="auto"/>
          <w:sz w:val="24"/>
        </w:rPr>
        <w:t>系指根据合同规定出卖人承担与供货有关的辅助服务，比如运输、保险、安装以及其它的伴随服务和合同中规定出卖人应承担的其它义务。</w:t>
      </w:r>
    </w:p>
    <w:p w14:paraId="1A3E4C73">
      <w:pPr>
        <w:spacing w:line="360" w:lineRule="auto"/>
        <w:ind w:firstLine="480" w:firstLineChars="200"/>
        <w:rPr>
          <w:rFonts w:hint="eastAsia" w:ascii="宋体" w:hAnsi="宋体"/>
          <w:color w:val="auto"/>
          <w:sz w:val="24"/>
        </w:rPr>
      </w:pPr>
      <w:r>
        <w:rPr>
          <w:rFonts w:hint="eastAsia" w:ascii="宋体" w:hAnsi="宋体"/>
          <w:color w:val="auto"/>
          <w:sz w:val="24"/>
        </w:rPr>
        <w:t>2、质量标准</w:t>
      </w:r>
    </w:p>
    <w:p w14:paraId="13FA1962">
      <w:pPr>
        <w:spacing w:line="360" w:lineRule="auto"/>
        <w:ind w:firstLine="480" w:firstLineChars="200"/>
        <w:rPr>
          <w:rFonts w:hint="eastAsia" w:ascii="宋体" w:hAnsi="宋体"/>
          <w:color w:val="auto"/>
          <w:sz w:val="24"/>
        </w:rPr>
      </w:pPr>
      <w:r>
        <w:rPr>
          <w:rFonts w:hint="eastAsia" w:ascii="宋体" w:hAnsi="宋体"/>
          <w:color w:val="auto"/>
          <w:sz w:val="24"/>
        </w:rPr>
        <w:t>（1）本合同项下交付的</w:t>
      </w:r>
      <w:r>
        <w:rPr>
          <w:rFonts w:hint="eastAsia" w:cs="仿宋_GB2312"/>
          <w:color w:val="auto"/>
          <w:sz w:val="24"/>
        </w:rPr>
        <w:t>物资</w:t>
      </w:r>
      <w:r>
        <w:rPr>
          <w:rFonts w:hint="eastAsia" w:ascii="宋体" w:hAnsi="宋体"/>
          <w:color w:val="auto"/>
          <w:sz w:val="24"/>
        </w:rPr>
        <w:t>应符合中华人民共和国国家标准或行业标准及采购文件技术规范书的要求。</w:t>
      </w:r>
    </w:p>
    <w:p w14:paraId="67E59119">
      <w:pPr>
        <w:spacing w:line="360" w:lineRule="auto"/>
        <w:ind w:firstLine="480" w:firstLineChars="200"/>
        <w:rPr>
          <w:rFonts w:hint="eastAsia" w:ascii="宋体" w:hAnsi="宋体"/>
          <w:color w:val="auto"/>
          <w:sz w:val="24"/>
        </w:rPr>
      </w:pPr>
      <w:r>
        <w:rPr>
          <w:rFonts w:hint="eastAsia" w:ascii="宋体" w:hAnsi="宋体"/>
          <w:color w:val="auto"/>
          <w:sz w:val="24"/>
        </w:rPr>
        <w:t>（2）计量单位均应采用中华人民共和国法定计量单位。</w:t>
      </w:r>
    </w:p>
    <w:p w14:paraId="778A1606">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rPr>
        <w:t>3、</w:t>
      </w:r>
      <w:r>
        <w:rPr>
          <w:rFonts w:hint="eastAsia" w:ascii="宋体" w:hAnsi="宋体"/>
          <w:color w:val="auto"/>
          <w:sz w:val="24"/>
          <w:szCs w:val="24"/>
        </w:rPr>
        <w:t>检验和测试</w:t>
      </w:r>
    </w:p>
    <w:p w14:paraId="0EA23C53">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（1）</w:t>
      </w:r>
      <w:r>
        <w:rPr>
          <w:rFonts w:hint="eastAsia" w:ascii="宋体" w:hAnsi="宋体"/>
          <w:color w:val="auto"/>
          <w:sz w:val="24"/>
        </w:rPr>
        <w:t>买受人</w:t>
      </w:r>
      <w:r>
        <w:rPr>
          <w:rFonts w:hint="eastAsia" w:ascii="宋体" w:hAnsi="宋体"/>
          <w:color w:val="auto"/>
          <w:sz w:val="24"/>
          <w:szCs w:val="24"/>
        </w:rPr>
        <w:t>有权检验和测试</w:t>
      </w:r>
      <w:r>
        <w:rPr>
          <w:rFonts w:hint="eastAsia" w:cs="仿宋_GB2312"/>
          <w:color w:val="auto"/>
          <w:sz w:val="24"/>
          <w:szCs w:val="24"/>
        </w:rPr>
        <w:t>物资的质量和性能</w:t>
      </w:r>
      <w:r>
        <w:rPr>
          <w:rFonts w:ascii="宋体" w:hAnsi="宋体"/>
          <w:color w:val="auto"/>
          <w:sz w:val="24"/>
          <w:szCs w:val="24"/>
        </w:rPr>
        <w:t>，</w:t>
      </w:r>
      <w:r>
        <w:rPr>
          <w:rFonts w:hint="eastAsia" w:ascii="宋体" w:hAnsi="宋体"/>
          <w:color w:val="auto"/>
          <w:sz w:val="24"/>
          <w:szCs w:val="24"/>
        </w:rPr>
        <w:t>以确认</w:t>
      </w:r>
      <w:r>
        <w:rPr>
          <w:rFonts w:hint="eastAsia" w:cs="仿宋_GB2312"/>
          <w:color w:val="auto"/>
          <w:sz w:val="24"/>
          <w:szCs w:val="24"/>
        </w:rPr>
        <w:t>物资</w:t>
      </w:r>
      <w:r>
        <w:rPr>
          <w:rFonts w:hint="eastAsia" w:ascii="宋体" w:hAnsi="宋体"/>
          <w:color w:val="auto"/>
          <w:sz w:val="24"/>
          <w:szCs w:val="24"/>
        </w:rPr>
        <w:t>是否符合合同规定的要求</w:t>
      </w:r>
      <w:r>
        <w:rPr>
          <w:rFonts w:ascii="宋体" w:hAnsi="宋体"/>
          <w:color w:val="auto"/>
          <w:sz w:val="24"/>
          <w:szCs w:val="24"/>
        </w:rPr>
        <w:t>，</w:t>
      </w:r>
      <w:r>
        <w:rPr>
          <w:rFonts w:hint="eastAsia" w:ascii="宋体" w:hAnsi="宋体"/>
          <w:color w:val="auto"/>
          <w:sz w:val="24"/>
          <w:szCs w:val="24"/>
        </w:rPr>
        <w:t>并且不承担额外的费用。</w:t>
      </w:r>
    </w:p>
    <w:p w14:paraId="74EAD15C">
      <w:pPr>
        <w:pStyle w:val="8"/>
        <w:spacing w:after="0" w:line="360" w:lineRule="auto"/>
        <w:ind w:firstLine="480" w:firstLineChars="200"/>
        <w:rPr>
          <w:rFonts w:hint="eastAsia" w:ascii="宋体"/>
          <w:color w:val="auto"/>
          <w:sz w:val="24"/>
          <w:szCs w:val="24"/>
        </w:rPr>
      </w:pPr>
      <w:r>
        <w:rPr>
          <w:rFonts w:hint="eastAsia" w:ascii="宋体" w:hAnsi="宋体"/>
          <w:color w:val="auto"/>
          <w:sz w:val="24"/>
          <w:szCs w:val="24"/>
        </w:rPr>
        <w:t>（</w:t>
      </w:r>
      <w:r>
        <w:rPr>
          <w:rFonts w:ascii="宋体" w:hAnsi="宋体"/>
          <w:color w:val="auto"/>
          <w:sz w:val="24"/>
          <w:szCs w:val="24"/>
        </w:rPr>
        <w:t>2</w:t>
      </w:r>
      <w:r>
        <w:rPr>
          <w:rFonts w:hint="eastAsia" w:ascii="宋体" w:hAnsi="宋体"/>
          <w:color w:val="auto"/>
          <w:sz w:val="24"/>
          <w:szCs w:val="24"/>
        </w:rPr>
        <w:t>）检验和测试可以在</w:t>
      </w:r>
      <w:r>
        <w:rPr>
          <w:rFonts w:hint="eastAsia" w:ascii="宋体" w:hAnsi="宋体"/>
          <w:color w:val="auto"/>
          <w:sz w:val="24"/>
        </w:rPr>
        <w:t>出卖人</w:t>
      </w:r>
      <w:r>
        <w:rPr>
          <w:rFonts w:hint="eastAsia" w:ascii="宋体" w:hAnsi="宋体"/>
          <w:color w:val="auto"/>
          <w:sz w:val="24"/>
          <w:szCs w:val="24"/>
        </w:rPr>
        <w:t>的驻地或交货地点进行。如果在</w:t>
      </w:r>
      <w:r>
        <w:rPr>
          <w:rFonts w:hint="eastAsia" w:ascii="宋体" w:hAnsi="宋体"/>
          <w:color w:val="auto"/>
          <w:sz w:val="24"/>
        </w:rPr>
        <w:t>出卖人</w:t>
      </w:r>
      <w:r>
        <w:rPr>
          <w:rFonts w:hint="eastAsia" w:ascii="宋体" w:hAnsi="宋体"/>
          <w:color w:val="auto"/>
          <w:sz w:val="24"/>
          <w:szCs w:val="24"/>
        </w:rPr>
        <w:t>的驻地进行，检测人员应能得到全部合理的设施和协助</w:t>
      </w:r>
      <w:r>
        <w:rPr>
          <w:rFonts w:ascii="宋体"/>
          <w:color w:val="auto"/>
          <w:sz w:val="24"/>
          <w:szCs w:val="24"/>
        </w:rPr>
        <w:t>,</w:t>
      </w:r>
      <w:r>
        <w:rPr>
          <w:rFonts w:hint="eastAsia" w:ascii="宋体" w:hAnsi="宋体"/>
          <w:color w:val="auto"/>
          <w:sz w:val="24"/>
        </w:rPr>
        <w:t>买受人</w:t>
      </w:r>
      <w:r>
        <w:rPr>
          <w:rFonts w:hint="eastAsia" w:ascii="宋体" w:hAnsi="宋体"/>
          <w:color w:val="auto"/>
          <w:sz w:val="24"/>
          <w:szCs w:val="24"/>
        </w:rPr>
        <w:t>不应承担费用。</w:t>
      </w:r>
    </w:p>
    <w:p w14:paraId="26837B0C">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（3）检验和测试物资经供需双方共同取样封存送检，如果任何被检验或测试的物资不能满足合同规定的要求</w:t>
      </w:r>
      <w:r>
        <w:rPr>
          <w:rFonts w:ascii="宋体" w:hAnsi="宋体"/>
          <w:color w:val="auto"/>
          <w:sz w:val="24"/>
          <w:szCs w:val="24"/>
        </w:rPr>
        <w:t>，</w:t>
      </w:r>
      <w:r>
        <w:rPr>
          <w:rFonts w:hint="eastAsia" w:ascii="宋体" w:hAnsi="宋体"/>
          <w:color w:val="auto"/>
          <w:sz w:val="24"/>
          <w:szCs w:val="24"/>
        </w:rPr>
        <w:t>期间产生的所有费用由出卖人承担，同时</w:t>
      </w:r>
      <w:r>
        <w:rPr>
          <w:rFonts w:hint="eastAsia" w:ascii="宋体" w:hAnsi="宋体"/>
          <w:color w:val="auto"/>
          <w:sz w:val="24"/>
        </w:rPr>
        <w:t>买受人</w:t>
      </w:r>
      <w:r>
        <w:rPr>
          <w:rFonts w:hint="eastAsia" w:ascii="宋体" w:hAnsi="宋体"/>
          <w:color w:val="auto"/>
          <w:sz w:val="24"/>
          <w:szCs w:val="24"/>
        </w:rPr>
        <w:t>有权拒绝接受该</w:t>
      </w:r>
      <w:r>
        <w:rPr>
          <w:rFonts w:hint="eastAsia" w:cs="仿宋_GB2312"/>
          <w:color w:val="auto"/>
          <w:sz w:val="24"/>
          <w:szCs w:val="24"/>
        </w:rPr>
        <w:t>物资</w:t>
      </w:r>
      <w:r>
        <w:rPr>
          <w:rFonts w:ascii="宋体" w:hAnsi="宋体"/>
          <w:color w:val="auto"/>
          <w:sz w:val="24"/>
          <w:szCs w:val="24"/>
        </w:rPr>
        <w:t>，</w:t>
      </w:r>
      <w:r>
        <w:rPr>
          <w:rFonts w:hint="eastAsia" w:ascii="宋体" w:hAnsi="宋体"/>
          <w:color w:val="auto"/>
          <w:sz w:val="24"/>
        </w:rPr>
        <w:t>出卖人</w:t>
      </w:r>
      <w:r>
        <w:rPr>
          <w:rFonts w:hint="eastAsia" w:ascii="宋体" w:hAnsi="宋体"/>
          <w:color w:val="auto"/>
          <w:sz w:val="24"/>
          <w:szCs w:val="24"/>
        </w:rPr>
        <w:t>应更换被拒绝的</w:t>
      </w:r>
      <w:r>
        <w:rPr>
          <w:rFonts w:hint="eastAsia" w:cs="仿宋_GB2312"/>
          <w:color w:val="auto"/>
          <w:sz w:val="24"/>
          <w:szCs w:val="24"/>
        </w:rPr>
        <w:t>物资</w:t>
      </w:r>
      <w:r>
        <w:rPr>
          <w:rFonts w:hint="eastAsia" w:ascii="宋体" w:hAnsi="宋体"/>
          <w:color w:val="auto"/>
          <w:sz w:val="24"/>
          <w:szCs w:val="24"/>
        </w:rPr>
        <w:t>以满足合同规定的要求。</w:t>
      </w:r>
    </w:p>
    <w:p w14:paraId="0EF753A2">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（4）如果在合同条款规定的质保期内</w:t>
      </w:r>
      <w:r>
        <w:rPr>
          <w:rFonts w:ascii="宋体" w:hAnsi="宋体"/>
          <w:color w:val="auto"/>
          <w:sz w:val="24"/>
          <w:szCs w:val="24"/>
        </w:rPr>
        <w:t>,</w:t>
      </w:r>
      <w:r>
        <w:rPr>
          <w:rFonts w:hint="eastAsia" w:ascii="宋体" w:hAnsi="宋体"/>
          <w:color w:val="auto"/>
          <w:sz w:val="24"/>
          <w:szCs w:val="24"/>
        </w:rPr>
        <w:t>根据检验和测试的结果，发现</w:t>
      </w:r>
      <w:r>
        <w:rPr>
          <w:rFonts w:hint="eastAsia" w:cs="仿宋_GB2312"/>
          <w:color w:val="auto"/>
          <w:sz w:val="24"/>
          <w:szCs w:val="24"/>
        </w:rPr>
        <w:t>物资</w:t>
      </w:r>
      <w:r>
        <w:rPr>
          <w:rFonts w:hint="eastAsia" w:ascii="宋体" w:hAnsi="宋体"/>
          <w:color w:val="auto"/>
          <w:sz w:val="24"/>
          <w:szCs w:val="24"/>
        </w:rPr>
        <w:t>的质量、性能或规格与合同要求不符</w:t>
      </w:r>
      <w:r>
        <w:rPr>
          <w:rFonts w:ascii="宋体" w:hAnsi="宋体"/>
          <w:color w:val="auto"/>
          <w:sz w:val="24"/>
          <w:szCs w:val="24"/>
        </w:rPr>
        <w:t>，</w:t>
      </w:r>
      <w:r>
        <w:rPr>
          <w:rFonts w:hint="eastAsia" w:ascii="宋体" w:hAnsi="宋体"/>
          <w:color w:val="auto"/>
          <w:sz w:val="24"/>
          <w:szCs w:val="24"/>
        </w:rPr>
        <w:t>或</w:t>
      </w:r>
      <w:r>
        <w:rPr>
          <w:rFonts w:hint="eastAsia" w:cs="仿宋_GB2312"/>
          <w:color w:val="auto"/>
          <w:sz w:val="24"/>
          <w:szCs w:val="24"/>
        </w:rPr>
        <w:t>物资</w:t>
      </w:r>
      <w:r>
        <w:rPr>
          <w:rFonts w:hint="eastAsia" w:ascii="宋体" w:hAnsi="宋体"/>
          <w:color w:val="auto"/>
          <w:sz w:val="24"/>
          <w:szCs w:val="24"/>
        </w:rPr>
        <w:t>被证实有缺陷（包括潜在的缺陷或使用不合适的材料）</w:t>
      </w:r>
      <w:r>
        <w:rPr>
          <w:rFonts w:ascii="宋体" w:hAnsi="宋体"/>
          <w:color w:val="auto"/>
          <w:sz w:val="24"/>
          <w:szCs w:val="24"/>
        </w:rPr>
        <w:t>，</w:t>
      </w:r>
      <w:r>
        <w:rPr>
          <w:rFonts w:hint="eastAsia" w:ascii="宋体" w:hAnsi="宋体"/>
          <w:color w:val="auto"/>
          <w:sz w:val="24"/>
        </w:rPr>
        <w:t>买受人有权要求退货</w:t>
      </w:r>
      <w:r>
        <w:rPr>
          <w:rFonts w:hint="eastAsia" w:ascii="宋体" w:hAnsi="宋体"/>
          <w:color w:val="auto"/>
          <w:sz w:val="24"/>
          <w:szCs w:val="24"/>
        </w:rPr>
        <w:t>或向</w:t>
      </w:r>
      <w:r>
        <w:rPr>
          <w:rFonts w:hint="eastAsia" w:ascii="宋体" w:hAnsi="宋体"/>
          <w:color w:val="auto"/>
          <w:sz w:val="24"/>
        </w:rPr>
        <w:t>出卖人</w:t>
      </w:r>
      <w:r>
        <w:rPr>
          <w:rFonts w:hint="eastAsia" w:ascii="宋体" w:hAnsi="宋体"/>
          <w:color w:val="auto"/>
          <w:sz w:val="24"/>
          <w:szCs w:val="24"/>
        </w:rPr>
        <w:t>提出索赔要求。</w:t>
      </w:r>
    </w:p>
    <w:p w14:paraId="6B2ACBEE">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4、合同价格：指出卖人的成交价格。</w:t>
      </w:r>
    </w:p>
    <w:p w14:paraId="7F3FFE86">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5、交货时间：出卖人</w:t>
      </w:r>
      <w:r>
        <w:rPr>
          <w:rFonts w:ascii="宋体" w:hAnsi="宋体"/>
          <w:color w:val="auto"/>
          <w:sz w:val="24"/>
          <w:szCs w:val="24"/>
        </w:rPr>
        <w:t>按买卖合同规定将合同</w:t>
      </w:r>
      <w:r>
        <w:rPr>
          <w:rFonts w:ascii="宋体" w:hAnsi="宋体"/>
          <w:color w:val="auto"/>
          <w:sz w:val="24"/>
          <w:szCs w:val="24"/>
        </w:rPr>
        <w:fldChar w:fldCharType="begin"/>
      </w:r>
      <w:r>
        <w:rPr>
          <w:rFonts w:ascii="宋体" w:hAnsi="宋体"/>
          <w:color w:val="auto"/>
          <w:sz w:val="24"/>
          <w:szCs w:val="24"/>
        </w:rPr>
        <w:instrText xml:space="preserve"> HYPERLINK "http://baike.baidu.com/view/313707.htm" \t "_blank" </w:instrText>
      </w:r>
      <w:r>
        <w:rPr>
          <w:rFonts w:ascii="宋体" w:hAnsi="宋体"/>
          <w:color w:val="auto"/>
          <w:sz w:val="24"/>
          <w:szCs w:val="24"/>
        </w:rPr>
        <w:fldChar w:fldCharType="separate"/>
      </w:r>
      <w:r>
        <w:rPr>
          <w:rFonts w:ascii="宋体" w:hAnsi="宋体"/>
          <w:color w:val="auto"/>
          <w:sz w:val="24"/>
          <w:szCs w:val="24"/>
        </w:rPr>
        <w:t>货物</w:t>
      </w:r>
      <w:r>
        <w:rPr>
          <w:rFonts w:ascii="宋体" w:hAnsi="宋体"/>
          <w:color w:val="auto"/>
          <w:sz w:val="24"/>
          <w:szCs w:val="24"/>
        </w:rPr>
        <w:fldChar w:fldCharType="end"/>
      </w:r>
      <w:r>
        <w:rPr>
          <w:rFonts w:ascii="宋体" w:hAnsi="宋体"/>
          <w:color w:val="auto"/>
          <w:sz w:val="24"/>
          <w:szCs w:val="24"/>
        </w:rPr>
        <w:t>交付给</w:t>
      </w:r>
      <w:r>
        <w:rPr>
          <w:rFonts w:hint="eastAsia" w:ascii="宋体" w:hAnsi="宋体"/>
          <w:color w:val="auto"/>
          <w:sz w:val="24"/>
          <w:szCs w:val="24"/>
        </w:rPr>
        <w:t>买受人</w:t>
      </w:r>
      <w:r>
        <w:rPr>
          <w:rFonts w:ascii="宋体" w:hAnsi="宋体"/>
          <w:color w:val="auto"/>
          <w:sz w:val="24"/>
          <w:szCs w:val="24"/>
        </w:rPr>
        <w:t>的期限。</w:t>
      </w:r>
    </w:p>
    <w:p w14:paraId="4DED49B3">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6、物资的包装和运输、安装：</w:t>
      </w:r>
    </w:p>
    <w:p w14:paraId="69A472F1">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（1）包装：行业标准。</w:t>
      </w:r>
    </w:p>
    <w:p w14:paraId="7D5C9D8D">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（2）运输方式：由出卖人自行确定</w:t>
      </w:r>
    </w:p>
    <w:p w14:paraId="5D101F2A">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（3）运输责任：出卖人负责将货物送达买受人指定地点。</w:t>
      </w:r>
    </w:p>
    <w:p w14:paraId="62947C3F">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（4）运杂费由出卖人承担。</w:t>
      </w:r>
    </w:p>
    <w:p w14:paraId="5D3B3D9F">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（5）安装：出卖人按技术要求完成。</w:t>
      </w:r>
    </w:p>
    <w:p w14:paraId="6D32CA43">
      <w:pPr>
        <w:adjustRightInd w:val="0"/>
        <w:spacing w:line="360" w:lineRule="auto"/>
        <w:ind w:firstLine="480" w:firstLineChars="200"/>
        <w:jc w:val="left"/>
        <w:textAlignment w:val="baseline"/>
        <w:rPr>
          <w:rFonts w:hint="eastAsia" w:ascii="宋体" w:hAnsi="宋体"/>
          <w:color w:val="auto"/>
          <w:sz w:val="24"/>
        </w:rPr>
      </w:pPr>
      <w:r>
        <w:rPr>
          <w:rFonts w:ascii="宋体" w:hAnsi="宋体"/>
          <w:color w:val="auto"/>
          <w:sz w:val="24"/>
        </w:rPr>
        <w:t>7</w:t>
      </w:r>
      <w:r>
        <w:rPr>
          <w:rFonts w:hint="eastAsia" w:ascii="宋体" w:hAnsi="宋体"/>
          <w:color w:val="auto"/>
          <w:sz w:val="24"/>
        </w:rPr>
        <w:t>、质量保证</w:t>
      </w:r>
    </w:p>
    <w:p w14:paraId="7E1205A5">
      <w:pPr>
        <w:pStyle w:val="8"/>
        <w:spacing w:after="0" w:line="360" w:lineRule="auto"/>
        <w:ind w:firstLine="480" w:firstLineChars="200"/>
        <w:rPr>
          <w:rFonts w:ascii="宋体" w:hAnsi="宋体"/>
          <w:b/>
          <w:color w:val="auto"/>
          <w:sz w:val="32"/>
          <w:szCs w:val="32"/>
        </w:rPr>
      </w:pPr>
      <w:r>
        <w:rPr>
          <w:rFonts w:hint="eastAsia" w:ascii="宋体" w:hAnsi="宋体"/>
          <w:color w:val="auto"/>
          <w:sz w:val="24"/>
          <w:szCs w:val="24"/>
        </w:rPr>
        <w:t>出卖人提供的所有物资，应有完善的质量检验检测报告和质量保证体系，产品符合国家标准或行业标准。</w:t>
      </w:r>
    </w:p>
    <w:p w14:paraId="67ABEB0D">
      <w:pPr>
        <w:numPr>
          <w:ilvl w:val="0"/>
          <w:numId w:val="2"/>
        </w:numPr>
        <w:spacing w:line="360" w:lineRule="auto"/>
        <w:ind w:firstLine="3534" w:firstLineChars="1100"/>
        <w:rPr>
          <w:rFonts w:hint="eastAsia" w:ascii="宋体" w:hAnsi="宋体"/>
          <w:b/>
          <w:color w:val="auto"/>
          <w:sz w:val="32"/>
          <w:szCs w:val="32"/>
        </w:rPr>
      </w:pPr>
      <w:r>
        <w:rPr>
          <w:rFonts w:hint="eastAsia" w:ascii="宋体" w:hAnsi="宋体"/>
          <w:b/>
          <w:color w:val="auto"/>
          <w:sz w:val="32"/>
          <w:szCs w:val="32"/>
        </w:rPr>
        <w:t>技术要求</w:t>
      </w:r>
    </w:p>
    <w:p w14:paraId="02E2A88D">
      <w:pPr>
        <w:pStyle w:val="8"/>
        <w:spacing w:after="0" w:line="360" w:lineRule="auto"/>
        <w:rPr>
          <w:rFonts w:hint="eastAsia" w:ascii="宋体" w:hAnsi="宋体"/>
          <w:color w:val="auto"/>
          <w:sz w:val="24"/>
          <w:szCs w:val="24"/>
        </w:rPr>
      </w:pPr>
    </w:p>
    <w:p w14:paraId="53B2F358">
      <w:pPr>
        <w:numPr>
          <w:ilvl w:val="0"/>
          <w:numId w:val="3"/>
        </w:numPr>
        <w:spacing w:line="360" w:lineRule="auto"/>
        <w:ind w:firstLine="472" w:firstLineChars="196"/>
        <w:rPr>
          <w:rFonts w:hint="eastAsia" w:cs="仿宋_GB2312"/>
          <w:b/>
          <w:bCs/>
          <w:color w:val="auto"/>
          <w:sz w:val="24"/>
          <w:lang w:val="en-US" w:eastAsia="zh-CN"/>
        </w:rPr>
      </w:pPr>
      <w:r>
        <w:rPr>
          <w:rFonts w:hint="eastAsia" w:cs="仿宋_GB2312"/>
          <w:b/>
          <w:bCs/>
          <w:color w:val="auto"/>
          <w:sz w:val="24"/>
          <w:lang w:val="en-US" w:eastAsia="zh-CN"/>
        </w:rPr>
        <w:t>项目内容</w:t>
      </w:r>
    </w:p>
    <w:p w14:paraId="733632EF">
      <w:pPr>
        <w:pStyle w:val="8"/>
        <w:numPr>
          <w:ilvl w:val="0"/>
          <w:numId w:val="4"/>
        </w:numPr>
        <w:spacing w:after="0" w:line="360" w:lineRule="auto"/>
        <w:ind w:firstLine="480" w:firstLineChars="200"/>
        <w:rPr>
          <w:rFonts w:hint="eastAsia" w:ascii="宋体" w:hAnsi="宋体"/>
          <w:color w:val="auto"/>
          <w:sz w:val="24"/>
          <w:szCs w:val="24"/>
          <w:lang w:val="en-US" w:eastAsia="zh-CN"/>
        </w:rPr>
      </w:pPr>
      <w:r>
        <w:rPr>
          <w:rFonts w:hint="eastAsia" w:ascii="宋体" w:hAnsi="宋体"/>
          <w:color w:val="auto"/>
          <w:sz w:val="24"/>
          <w:szCs w:val="24"/>
          <w:lang w:val="en-US" w:eastAsia="zh-CN"/>
        </w:rPr>
        <w:t>办公楼外立面发光字：</w:t>
      </w:r>
    </w:p>
    <w:p w14:paraId="611DB137">
      <w:pPr>
        <w:pStyle w:val="8"/>
        <w:numPr>
          <w:ilvl w:val="0"/>
          <w:numId w:val="5"/>
        </w:numPr>
        <w:spacing w:after="0" w:line="360" w:lineRule="auto"/>
        <w:ind w:left="360" w:leftChars="0" w:firstLine="0" w:firstLineChars="0"/>
        <w:rPr>
          <w:rFonts w:hint="eastAsia" w:ascii="宋体" w:hAnsi="宋体"/>
          <w:color w:val="auto"/>
          <w:sz w:val="24"/>
          <w:szCs w:val="24"/>
          <w:lang w:val="en-US" w:eastAsia="zh-CN"/>
        </w:rPr>
      </w:pPr>
      <w:r>
        <w:rPr>
          <w:rFonts w:hint="eastAsia" w:ascii="宋体" w:hAnsi="宋体"/>
          <w:color w:val="auto"/>
          <w:sz w:val="24"/>
          <w:szCs w:val="24"/>
          <w:lang w:val="en-US" w:eastAsia="zh-CN"/>
        </w:rPr>
        <w:t>中文字：山西煤矿机械制造股份有限公司;</w:t>
      </w:r>
    </w:p>
    <w:p w14:paraId="7382D691">
      <w:pPr>
        <w:pStyle w:val="8"/>
        <w:numPr>
          <w:ilvl w:val="0"/>
          <w:numId w:val="0"/>
        </w:numPr>
        <w:spacing w:after="0" w:line="360" w:lineRule="auto"/>
        <w:ind w:left="360" w:leftChars="0"/>
        <w:rPr>
          <w:rFonts w:hint="default" w:ascii="宋体" w:hAnsi="宋体"/>
          <w:color w:val="auto"/>
          <w:sz w:val="24"/>
          <w:szCs w:val="24"/>
          <w:lang w:val="en-US" w:eastAsia="zh-CN"/>
        </w:rPr>
      </w:pPr>
      <w:r>
        <w:rPr>
          <w:rFonts w:hint="eastAsia" w:ascii="宋体" w:hAnsi="宋体"/>
          <w:color w:val="auto"/>
          <w:sz w:val="24"/>
          <w:szCs w:val="24"/>
          <w:lang w:val="en-US" w:eastAsia="zh-CN"/>
        </w:rPr>
        <w:t xml:space="preserve">     数量：14个；建议规格尺寸：1860mm*1900mm；颜色：企业红；</w:t>
      </w:r>
    </w:p>
    <w:p w14:paraId="3E32D32F">
      <w:pPr>
        <w:pStyle w:val="8"/>
        <w:numPr>
          <w:ilvl w:val="0"/>
          <w:numId w:val="5"/>
        </w:numPr>
        <w:spacing w:after="0" w:line="360" w:lineRule="auto"/>
        <w:ind w:left="360" w:leftChars="0" w:firstLine="0" w:firstLineChars="0"/>
        <w:rPr>
          <w:rFonts w:hint="default" w:ascii="宋体" w:hAnsi="宋体"/>
          <w:color w:val="auto"/>
          <w:sz w:val="24"/>
          <w:szCs w:val="24"/>
          <w:lang w:val="en-US" w:eastAsia="zh-CN"/>
        </w:rPr>
      </w:pPr>
      <w:r>
        <w:rPr>
          <w:rFonts w:hint="eastAsia" w:ascii="宋体" w:hAnsi="宋体"/>
          <w:color w:val="auto"/>
          <w:sz w:val="24"/>
          <w:szCs w:val="24"/>
          <w:lang w:val="en-US" w:eastAsia="zh-CN"/>
        </w:rPr>
        <w:t>英文字：Shanxi Coal Mine Machinery Manufacturing Incorporated Company</w:t>
      </w:r>
    </w:p>
    <w:p w14:paraId="0EB3C401">
      <w:pPr>
        <w:pStyle w:val="8"/>
        <w:numPr>
          <w:ilvl w:val="0"/>
          <w:numId w:val="0"/>
        </w:numPr>
        <w:spacing w:after="0" w:line="360" w:lineRule="auto"/>
        <w:ind w:left="360" w:leftChars="0"/>
        <w:rPr>
          <w:rFonts w:hint="default" w:ascii="宋体" w:hAnsi="宋体"/>
          <w:color w:val="auto"/>
          <w:sz w:val="24"/>
          <w:szCs w:val="24"/>
          <w:lang w:val="en-US" w:eastAsia="zh-CN"/>
        </w:rPr>
      </w:pPr>
      <w:r>
        <w:rPr>
          <w:rFonts w:hint="eastAsia" w:ascii="宋体" w:hAnsi="宋体"/>
          <w:color w:val="auto"/>
          <w:sz w:val="24"/>
          <w:szCs w:val="24"/>
          <w:lang w:val="en-US" w:eastAsia="zh-CN"/>
        </w:rPr>
        <w:t xml:space="preserve">     数量：55个；建议规格尺寸：840mm*350mm;颜色：企业蓝；</w:t>
      </w:r>
    </w:p>
    <w:p w14:paraId="2B96AB4F">
      <w:pPr>
        <w:pStyle w:val="8"/>
        <w:numPr>
          <w:ilvl w:val="0"/>
          <w:numId w:val="5"/>
        </w:numPr>
        <w:spacing w:after="0" w:line="360" w:lineRule="auto"/>
        <w:ind w:left="360" w:leftChars="0" w:firstLine="0" w:firstLineChars="0"/>
        <w:rPr>
          <w:rFonts w:hint="default" w:ascii="宋体" w:hAnsi="宋体"/>
          <w:color w:val="auto"/>
          <w:sz w:val="24"/>
          <w:szCs w:val="24"/>
          <w:lang w:val="en-US" w:eastAsia="zh-CN"/>
        </w:rPr>
      </w:pPr>
      <w:r>
        <w:rPr>
          <w:rFonts w:hint="eastAsia" w:ascii="宋体" w:hAnsi="宋体"/>
          <w:color w:val="auto"/>
          <w:sz w:val="24"/>
          <w:szCs w:val="24"/>
          <w:lang w:val="en-US" w:eastAsia="zh-CN"/>
        </w:rPr>
        <w:t>Logo:Sx</w:t>
      </w:r>
    </w:p>
    <w:p w14:paraId="38164C39">
      <w:pPr>
        <w:spacing w:line="360" w:lineRule="auto"/>
        <w:ind w:firstLine="472" w:firstLineChars="196"/>
        <w:rPr>
          <w:rFonts w:hint="default" w:eastAsia="宋体" w:cs="仿宋_GB2312"/>
          <w:b/>
          <w:bCs/>
          <w:color w:val="auto"/>
          <w:sz w:val="24"/>
          <w:lang w:val="en-US" w:eastAsia="zh-CN"/>
        </w:rPr>
      </w:pPr>
      <w:r>
        <w:rPr>
          <w:rFonts w:hint="eastAsia" w:cs="仿宋_GB2312"/>
          <w:b/>
          <w:bCs/>
          <w:color w:val="auto"/>
          <w:sz w:val="24"/>
          <w:lang w:val="en-US" w:eastAsia="zh-CN"/>
        </w:rPr>
        <w:t xml:space="preserve">    </w:t>
      </w:r>
      <w:r>
        <w:rPr>
          <w:rFonts w:hint="eastAsia" w:ascii="宋体" w:hAnsi="宋体"/>
          <w:color w:val="auto"/>
          <w:sz w:val="24"/>
          <w:szCs w:val="24"/>
          <w:lang w:val="en-US" w:eastAsia="zh-CN"/>
        </w:rPr>
        <w:t>数量：1个；建议规格尺寸：6300mm*2650mm;颜色：企业红；</w:t>
      </w:r>
    </w:p>
    <w:p w14:paraId="15CB3D46">
      <w:pPr>
        <w:pStyle w:val="8"/>
        <w:numPr>
          <w:ilvl w:val="0"/>
          <w:numId w:val="4"/>
        </w:numPr>
        <w:spacing w:after="0" w:line="360" w:lineRule="auto"/>
        <w:ind w:firstLine="480" w:firstLineChars="200"/>
        <w:rPr>
          <w:rFonts w:hint="eastAsia" w:ascii="宋体" w:hAnsi="宋体"/>
          <w:color w:val="auto"/>
          <w:sz w:val="24"/>
          <w:szCs w:val="24"/>
          <w:lang w:val="en-US" w:eastAsia="zh-CN"/>
        </w:rPr>
      </w:pPr>
      <w:r>
        <w:rPr>
          <w:rFonts w:hint="eastAsia" w:ascii="宋体" w:hAnsi="宋体"/>
          <w:color w:val="auto"/>
          <w:sz w:val="24"/>
          <w:szCs w:val="24"/>
          <w:lang w:val="en-US" w:eastAsia="zh-CN"/>
        </w:rPr>
        <w:t>园区伸缩门不锈钢字：</w:t>
      </w:r>
    </w:p>
    <w:p w14:paraId="00FDA795">
      <w:pPr>
        <w:pStyle w:val="8"/>
        <w:numPr>
          <w:ilvl w:val="0"/>
          <w:numId w:val="0"/>
        </w:numPr>
        <w:spacing w:after="0" w:line="360" w:lineRule="auto"/>
        <w:ind w:firstLine="480" w:firstLineChars="200"/>
        <w:rPr>
          <w:rFonts w:hint="eastAsia" w:ascii="宋体" w:hAnsi="宋体"/>
          <w:color w:val="auto"/>
          <w:sz w:val="24"/>
          <w:szCs w:val="24"/>
          <w:lang w:val="en-US" w:eastAsia="zh-CN"/>
        </w:rPr>
      </w:pPr>
      <w:r>
        <w:rPr>
          <w:rFonts w:hint="eastAsia" w:ascii="宋体" w:hAnsi="宋体"/>
          <w:color w:val="auto"/>
          <w:sz w:val="24"/>
          <w:szCs w:val="24"/>
          <w:lang w:val="en-US" w:eastAsia="zh-CN"/>
        </w:rPr>
        <w:t>（1）中文字：山西煤机装备制造有限责任公司;</w:t>
      </w:r>
    </w:p>
    <w:p w14:paraId="17D202D5">
      <w:pPr>
        <w:pStyle w:val="8"/>
        <w:numPr>
          <w:ilvl w:val="0"/>
          <w:numId w:val="0"/>
        </w:numPr>
        <w:spacing w:after="0" w:line="360" w:lineRule="auto"/>
        <w:ind w:left="360" w:leftChars="0"/>
        <w:rPr>
          <w:rFonts w:hint="default" w:ascii="宋体" w:hAnsi="宋体"/>
          <w:color w:val="auto"/>
          <w:sz w:val="24"/>
          <w:szCs w:val="24"/>
          <w:lang w:val="en-US" w:eastAsia="zh-CN"/>
        </w:rPr>
      </w:pPr>
      <w:r>
        <w:rPr>
          <w:rFonts w:hint="eastAsia" w:ascii="宋体" w:hAnsi="宋体"/>
          <w:color w:val="auto"/>
          <w:sz w:val="24"/>
          <w:szCs w:val="24"/>
          <w:lang w:val="en-US" w:eastAsia="zh-CN"/>
        </w:rPr>
        <w:t xml:space="preserve">     数量：14个；建议规格尺寸：400mm*410mm；颜色：企业蓝；</w:t>
      </w:r>
    </w:p>
    <w:p w14:paraId="060ED5B8">
      <w:pPr>
        <w:pStyle w:val="8"/>
        <w:numPr>
          <w:ilvl w:val="0"/>
          <w:numId w:val="5"/>
        </w:numPr>
        <w:spacing w:after="0" w:line="360" w:lineRule="auto"/>
        <w:ind w:left="360" w:leftChars="0" w:firstLine="0" w:firstLineChars="0"/>
        <w:rPr>
          <w:rFonts w:hint="default" w:ascii="宋体" w:hAnsi="宋体"/>
          <w:color w:val="auto"/>
          <w:sz w:val="24"/>
          <w:szCs w:val="24"/>
          <w:lang w:val="en-US" w:eastAsia="zh-CN"/>
        </w:rPr>
      </w:pPr>
      <w:r>
        <w:rPr>
          <w:rFonts w:hint="eastAsia" w:ascii="宋体" w:hAnsi="宋体"/>
          <w:color w:val="auto"/>
          <w:sz w:val="24"/>
          <w:szCs w:val="24"/>
          <w:lang w:val="en-US" w:eastAsia="zh-CN"/>
        </w:rPr>
        <w:t>英文字：Shanxi Coal Mine Equipment Manufacturing Co. Ltd.</w:t>
      </w:r>
    </w:p>
    <w:p w14:paraId="055D395F">
      <w:pPr>
        <w:pStyle w:val="8"/>
        <w:numPr>
          <w:ilvl w:val="0"/>
          <w:numId w:val="0"/>
        </w:numPr>
        <w:spacing w:after="0" w:line="360" w:lineRule="auto"/>
        <w:ind w:left="360" w:leftChars="0"/>
        <w:rPr>
          <w:rFonts w:hint="default" w:ascii="宋体" w:hAnsi="宋体"/>
          <w:color w:val="auto"/>
          <w:sz w:val="24"/>
          <w:szCs w:val="24"/>
          <w:lang w:val="en-US" w:eastAsia="zh-CN"/>
        </w:rPr>
      </w:pPr>
      <w:r>
        <w:rPr>
          <w:rFonts w:hint="eastAsia" w:ascii="宋体" w:hAnsi="宋体"/>
          <w:color w:val="auto"/>
          <w:sz w:val="24"/>
          <w:szCs w:val="24"/>
          <w:lang w:val="en-US" w:eastAsia="zh-CN"/>
        </w:rPr>
        <w:t xml:space="preserve">     数量：41个；建议规格尺寸：200mm*200mm;颜色：企业蓝；</w:t>
      </w:r>
    </w:p>
    <w:p w14:paraId="3EDCA01B">
      <w:pPr>
        <w:pStyle w:val="8"/>
        <w:numPr>
          <w:ilvl w:val="0"/>
          <w:numId w:val="5"/>
        </w:numPr>
        <w:spacing w:after="0" w:line="360" w:lineRule="auto"/>
        <w:ind w:left="360" w:leftChars="0" w:firstLine="0" w:firstLineChars="0"/>
        <w:rPr>
          <w:rFonts w:hint="default" w:ascii="宋体" w:hAnsi="宋体"/>
          <w:color w:val="auto"/>
          <w:sz w:val="24"/>
          <w:szCs w:val="24"/>
          <w:lang w:val="en-US" w:eastAsia="zh-CN"/>
        </w:rPr>
      </w:pPr>
      <w:r>
        <w:rPr>
          <w:rFonts w:hint="eastAsia" w:ascii="宋体" w:hAnsi="宋体"/>
          <w:color w:val="auto"/>
          <w:sz w:val="24"/>
          <w:szCs w:val="24"/>
          <w:lang w:val="en-US" w:eastAsia="zh-CN"/>
        </w:rPr>
        <w:t>Logo:Sx</w:t>
      </w:r>
    </w:p>
    <w:p w14:paraId="2204ACA5">
      <w:pPr>
        <w:spacing w:line="360" w:lineRule="auto"/>
        <w:ind w:firstLine="472" w:firstLineChars="196"/>
        <w:rPr>
          <w:rFonts w:hint="eastAsia" w:ascii="宋体" w:hAnsi="宋体"/>
          <w:color w:val="auto"/>
          <w:sz w:val="24"/>
          <w:szCs w:val="24"/>
          <w:lang w:val="en-US" w:eastAsia="zh-CN"/>
        </w:rPr>
      </w:pPr>
      <w:r>
        <w:rPr>
          <w:rFonts w:hint="eastAsia" w:cs="仿宋_GB2312"/>
          <w:b/>
          <w:bCs/>
          <w:color w:val="auto"/>
          <w:sz w:val="24"/>
          <w:lang w:val="en-US" w:eastAsia="zh-CN"/>
        </w:rPr>
        <w:t xml:space="preserve">    </w:t>
      </w:r>
      <w:r>
        <w:rPr>
          <w:rFonts w:hint="eastAsia" w:ascii="宋体" w:hAnsi="宋体"/>
          <w:color w:val="auto"/>
          <w:sz w:val="24"/>
          <w:szCs w:val="24"/>
          <w:lang w:val="en-US" w:eastAsia="zh-CN"/>
        </w:rPr>
        <w:t>数量：1个；建议规格尺寸：1640mm*680mm;颜色：企业红；</w:t>
      </w:r>
    </w:p>
    <w:p w14:paraId="2C56899F">
      <w:pPr>
        <w:numPr>
          <w:ilvl w:val="0"/>
          <w:numId w:val="4"/>
        </w:numPr>
        <w:spacing w:line="360" w:lineRule="auto"/>
        <w:ind w:left="0" w:leftChars="0" w:firstLine="480" w:firstLineChars="200"/>
        <w:rPr>
          <w:rFonts w:hint="eastAsia" w:ascii="宋体" w:hAnsi="宋体"/>
          <w:color w:val="auto"/>
          <w:sz w:val="24"/>
          <w:szCs w:val="24"/>
          <w:lang w:val="en-US" w:eastAsia="zh-CN"/>
        </w:rPr>
      </w:pPr>
      <w:r>
        <w:rPr>
          <w:rFonts w:hint="eastAsia" w:ascii="宋体" w:hAnsi="宋体"/>
          <w:color w:val="auto"/>
          <w:sz w:val="24"/>
          <w:szCs w:val="24"/>
          <w:lang w:val="en-US" w:eastAsia="zh-CN"/>
        </w:rPr>
        <w:t>字体规格大小为建议尺寸，具体视实际设计情况。</w:t>
      </w:r>
    </w:p>
    <w:p w14:paraId="042F96AF">
      <w:pPr>
        <w:numPr>
          <w:ilvl w:val="0"/>
          <w:numId w:val="4"/>
        </w:numPr>
        <w:spacing w:line="360" w:lineRule="auto"/>
        <w:ind w:left="0" w:leftChars="0" w:firstLine="480" w:firstLineChars="200"/>
        <w:rPr>
          <w:rFonts w:hint="default" w:ascii="宋体" w:hAnsi="宋体"/>
          <w:color w:val="auto"/>
          <w:sz w:val="24"/>
          <w:szCs w:val="24"/>
          <w:lang w:val="en-US" w:eastAsia="zh-CN"/>
        </w:rPr>
      </w:pPr>
      <w:r>
        <w:rPr>
          <w:rFonts w:hint="eastAsia" w:ascii="宋体" w:hAnsi="宋体"/>
          <w:color w:val="auto"/>
          <w:sz w:val="24"/>
          <w:szCs w:val="24"/>
          <w:lang w:val="en-US" w:eastAsia="zh-CN"/>
        </w:rPr>
        <w:t>发光字灯源：冲孔灯，建议灯珠间距30mm;</w:t>
      </w:r>
    </w:p>
    <w:p w14:paraId="4EAB0C6B">
      <w:pPr>
        <w:pStyle w:val="8"/>
        <w:numPr>
          <w:ilvl w:val="0"/>
          <w:numId w:val="0"/>
        </w:numPr>
        <w:spacing w:after="0" w:line="360" w:lineRule="auto"/>
        <w:rPr>
          <w:rFonts w:hint="eastAsia" w:cs="仿宋_GB2312"/>
          <w:b/>
          <w:bCs/>
          <w:color w:val="auto"/>
          <w:sz w:val="24"/>
        </w:rPr>
      </w:pPr>
      <w:r>
        <w:rPr>
          <w:rFonts w:hint="eastAsia" w:ascii="宋体" w:hAnsi="宋体"/>
          <w:color w:val="auto"/>
          <w:sz w:val="24"/>
          <w:szCs w:val="24"/>
          <w:lang w:val="en-US" w:eastAsia="zh-CN"/>
        </w:rPr>
        <w:t xml:space="preserve">    二、</w:t>
      </w:r>
      <w:r>
        <w:rPr>
          <w:rFonts w:hint="eastAsia" w:cs="仿宋_GB2312"/>
          <w:b/>
          <w:bCs/>
          <w:color w:val="auto"/>
          <w:sz w:val="24"/>
        </w:rPr>
        <w:t>通用要求</w:t>
      </w:r>
      <w:bookmarkStart w:id="2" w:name="_GoBack"/>
      <w:bookmarkEnd w:id="2"/>
    </w:p>
    <w:p w14:paraId="3595B3E5">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 xml:space="preserve"> 安全性：</w:t>
      </w:r>
    </w:p>
    <w:p w14:paraId="6711DC2B">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安全性主要包括：标识安全、结构安全、施工安全、应急安全、环保安全</w:t>
      </w:r>
      <w:r>
        <w:rPr>
          <w:rFonts w:hint="eastAsia" w:ascii="宋体" w:hAnsi="宋体"/>
          <w:color w:val="auto"/>
          <w:sz w:val="24"/>
          <w:szCs w:val="24"/>
          <w:lang w:val="en-US" w:eastAsia="zh-CN"/>
        </w:rPr>
        <w:t>等</w:t>
      </w:r>
      <w:r>
        <w:rPr>
          <w:rFonts w:hint="eastAsia" w:ascii="宋体" w:hAnsi="宋体"/>
          <w:color w:val="auto"/>
          <w:sz w:val="24"/>
          <w:szCs w:val="24"/>
        </w:rPr>
        <w:t>。</w:t>
      </w:r>
    </w:p>
    <w:p w14:paraId="69A250F6">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标识安全：</w:t>
      </w:r>
    </w:p>
    <w:p w14:paraId="277B204A">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（1）</w:t>
      </w:r>
      <w:r>
        <w:rPr>
          <w:rFonts w:hint="eastAsia" w:ascii="宋体" w:hAnsi="宋体"/>
          <w:color w:val="auto"/>
          <w:sz w:val="24"/>
          <w:szCs w:val="24"/>
          <w:lang w:val="en-US" w:eastAsia="zh-CN"/>
        </w:rPr>
        <w:t>发光字等标识</w:t>
      </w:r>
      <w:r>
        <w:rPr>
          <w:rFonts w:hint="eastAsia" w:ascii="宋体" w:hAnsi="宋体"/>
          <w:color w:val="auto"/>
          <w:sz w:val="24"/>
          <w:szCs w:val="24"/>
        </w:rPr>
        <w:t>所用的材料应有足够的强度，能承受一定程度的碰撞和冲击；</w:t>
      </w:r>
    </w:p>
    <w:p w14:paraId="13792E0E">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（2）</w:t>
      </w:r>
      <w:r>
        <w:rPr>
          <w:rFonts w:hint="eastAsia" w:ascii="宋体" w:hAnsi="宋体"/>
          <w:color w:val="auto"/>
          <w:sz w:val="24"/>
          <w:szCs w:val="24"/>
          <w:lang w:val="en-US" w:eastAsia="zh-CN"/>
        </w:rPr>
        <w:t>发光字</w:t>
      </w:r>
      <w:r>
        <w:rPr>
          <w:rFonts w:hint="eastAsia" w:ascii="宋体" w:hAnsi="宋体"/>
          <w:color w:val="auto"/>
          <w:sz w:val="24"/>
          <w:szCs w:val="24"/>
        </w:rPr>
        <w:t>等</w:t>
      </w:r>
      <w:r>
        <w:rPr>
          <w:rFonts w:hint="eastAsia" w:ascii="宋体" w:hAnsi="宋体"/>
          <w:color w:val="auto"/>
          <w:sz w:val="24"/>
          <w:szCs w:val="24"/>
          <w:lang w:val="en-US" w:eastAsia="zh-CN"/>
        </w:rPr>
        <w:t>标识以及</w:t>
      </w:r>
      <w:r>
        <w:rPr>
          <w:rFonts w:hint="eastAsia" w:ascii="宋体" w:hAnsi="宋体"/>
          <w:color w:val="auto"/>
          <w:sz w:val="24"/>
          <w:szCs w:val="24"/>
        </w:rPr>
        <w:t>固定件</w:t>
      </w:r>
      <w:r>
        <w:rPr>
          <w:rFonts w:hint="eastAsia" w:ascii="宋体" w:hAnsi="宋体"/>
          <w:color w:val="auto"/>
          <w:sz w:val="24"/>
          <w:szCs w:val="24"/>
          <w:lang w:val="en-US" w:eastAsia="zh-CN"/>
        </w:rPr>
        <w:t>等</w:t>
      </w:r>
      <w:r>
        <w:rPr>
          <w:rFonts w:hint="eastAsia" w:ascii="宋体" w:hAnsi="宋体"/>
          <w:color w:val="auto"/>
          <w:sz w:val="24"/>
          <w:szCs w:val="24"/>
        </w:rPr>
        <w:t>外部不能有尖、锋边、毛刺等，避免对访客及操作员的伤害；安装后应满足不发生变形、倾斜、坠落等异常现象。</w:t>
      </w:r>
    </w:p>
    <w:p w14:paraId="011CC7BF">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可靠性</w:t>
      </w:r>
      <w:r>
        <w:rPr>
          <w:rFonts w:hint="eastAsia" w:ascii="宋体" w:hAnsi="宋体"/>
          <w:color w:val="auto"/>
          <w:sz w:val="24"/>
          <w:szCs w:val="24"/>
          <w:lang w:eastAsia="zh-CN"/>
        </w:rPr>
        <w:t>：</w:t>
      </w:r>
      <w:r>
        <w:rPr>
          <w:rFonts w:hint="eastAsia" w:ascii="宋体" w:hAnsi="宋体"/>
          <w:color w:val="auto"/>
          <w:sz w:val="24"/>
          <w:szCs w:val="24"/>
        </w:rPr>
        <w:t>投标人应对</w:t>
      </w:r>
      <w:r>
        <w:rPr>
          <w:rFonts w:hint="eastAsia" w:ascii="宋体" w:hAnsi="宋体"/>
          <w:color w:val="auto"/>
          <w:sz w:val="24"/>
          <w:szCs w:val="24"/>
          <w:lang w:val="en-US" w:eastAsia="zh-CN"/>
        </w:rPr>
        <w:t>项目</w:t>
      </w:r>
      <w:r>
        <w:rPr>
          <w:rFonts w:hint="eastAsia" w:ascii="宋体" w:hAnsi="宋体"/>
          <w:color w:val="auto"/>
          <w:sz w:val="24"/>
          <w:szCs w:val="24"/>
        </w:rPr>
        <w:t>可靠性设计做出详细说明和建议。</w:t>
      </w:r>
    </w:p>
    <w:p w14:paraId="5C323AA4">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4</w:t>
      </w:r>
      <w:r>
        <w:rPr>
          <w:rFonts w:hint="eastAsia" w:ascii="宋体" w:hAnsi="宋体"/>
          <w:color w:val="auto"/>
          <w:sz w:val="24"/>
          <w:szCs w:val="24"/>
          <w:lang w:eastAsia="zh-CN"/>
        </w:rPr>
        <w:t>、</w:t>
      </w:r>
      <w:r>
        <w:rPr>
          <w:rFonts w:hint="eastAsia" w:ascii="宋体" w:hAnsi="宋体"/>
          <w:color w:val="auto"/>
          <w:sz w:val="24"/>
          <w:szCs w:val="24"/>
        </w:rPr>
        <w:t xml:space="preserve"> 环保性</w:t>
      </w:r>
      <w:r>
        <w:rPr>
          <w:rFonts w:hint="eastAsia" w:ascii="宋体" w:hAnsi="宋体"/>
          <w:color w:val="auto"/>
          <w:sz w:val="24"/>
          <w:szCs w:val="24"/>
          <w:lang w:eastAsia="zh-CN"/>
        </w:rPr>
        <w:t>：</w:t>
      </w:r>
      <w:r>
        <w:rPr>
          <w:rFonts w:hint="eastAsia" w:ascii="宋体" w:hAnsi="宋体"/>
          <w:color w:val="auto"/>
          <w:sz w:val="24"/>
          <w:szCs w:val="24"/>
        </w:rPr>
        <w:t>投标人提供的所有材料均应符合中国国家环保标准。</w:t>
      </w:r>
    </w:p>
    <w:p w14:paraId="5431087F">
      <w:pPr>
        <w:pStyle w:val="8"/>
        <w:spacing w:after="0" w:line="360" w:lineRule="auto"/>
        <w:ind w:firstLine="482" w:firstLineChars="200"/>
        <w:rPr>
          <w:rFonts w:hint="eastAsia" w:ascii="宋体" w:hAnsi="宋体"/>
          <w:b/>
          <w:bCs/>
          <w:color w:val="auto"/>
          <w:sz w:val="24"/>
          <w:szCs w:val="24"/>
        </w:rPr>
      </w:pPr>
      <w:r>
        <w:rPr>
          <w:rFonts w:hint="eastAsia" w:ascii="宋体" w:hAnsi="宋体"/>
          <w:b/>
          <w:bCs/>
          <w:color w:val="auto"/>
          <w:sz w:val="24"/>
          <w:szCs w:val="24"/>
          <w:lang w:val="en-US" w:eastAsia="zh-CN"/>
        </w:rPr>
        <w:t>三、</w:t>
      </w:r>
      <w:r>
        <w:rPr>
          <w:rFonts w:hint="eastAsia" w:ascii="宋体" w:hAnsi="宋体"/>
          <w:b/>
          <w:bCs/>
          <w:color w:val="auto"/>
          <w:sz w:val="24"/>
          <w:szCs w:val="24"/>
        </w:rPr>
        <w:t xml:space="preserve"> 标准与规范</w:t>
      </w:r>
    </w:p>
    <w:p w14:paraId="112BE388">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 xml:space="preserve"> 本</w:t>
      </w:r>
      <w:r>
        <w:rPr>
          <w:rFonts w:hint="eastAsia" w:ascii="宋体" w:hAnsi="宋体"/>
          <w:color w:val="auto"/>
          <w:sz w:val="24"/>
          <w:szCs w:val="24"/>
          <w:lang w:val="en-US" w:eastAsia="zh-CN"/>
        </w:rPr>
        <w:t>项目涉及</w:t>
      </w:r>
      <w:r>
        <w:rPr>
          <w:rFonts w:hint="eastAsia" w:ascii="宋体" w:hAnsi="宋体"/>
          <w:color w:val="auto"/>
          <w:sz w:val="24"/>
          <w:szCs w:val="24"/>
        </w:rPr>
        <w:t>的应用系统及设备的特征参数、性能和技术指标，均必须符合国家通用规范及ISO 等国际组织或专业组织的现行最新标准和规范。</w:t>
      </w:r>
    </w:p>
    <w:p w14:paraId="1B70DA7D">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本</w:t>
      </w:r>
      <w:r>
        <w:rPr>
          <w:rFonts w:hint="eastAsia" w:ascii="宋体" w:hAnsi="宋体"/>
          <w:color w:val="auto"/>
          <w:sz w:val="24"/>
          <w:szCs w:val="24"/>
          <w:lang w:val="en-US" w:eastAsia="zh-CN"/>
        </w:rPr>
        <w:t>项目涉及</w:t>
      </w:r>
      <w:r>
        <w:rPr>
          <w:rFonts w:hint="eastAsia" w:ascii="宋体" w:hAnsi="宋体"/>
          <w:color w:val="auto"/>
          <w:sz w:val="24"/>
          <w:szCs w:val="24"/>
        </w:rPr>
        <w:t>的应用系统及标识必须符合下列标准和规范：</w:t>
      </w:r>
    </w:p>
    <w:p w14:paraId="12BDE5EC">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GB/T15566 《图形标识使用原则与要求》</w:t>
      </w:r>
    </w:p>
    <w:p w14:paraId="068204DE">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GB3818 《公共信息图形组合》</w:t>
      </w:r>
    </w:p>
    <w:p w14:paraId="54400F35">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GB/T1001.1 《标识用公共信息符号 第1 部分：通用符号》</w:t>
      </w:r>
    </w:p>
    <w:p w14:paraId="574641C3">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GB2893-2008 《安全色》</w:t>
      </w:r>
    </w:p>
    <w:p w14:paraId="576677F2">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GB13495.1《消防安全标识》</w:t>
      </w:r>
    </w:p>
    <w:p w14:paraId="7842E482">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BS 2006 《防止钢结构和铁锈蚀操作规范》</w:t>
      </w:r>
    </w:p>
    <w:p w14:paraId="61DD937A">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BS3900 《涂层试验标准》</w:t>
      </w:r>
    </w:p>
    <w:p w14:paraId="335FC9D9">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GB12103 《标识用图形符号的测试》</w:t>
      </w:r>
    </w:p>
    <w:p w14:paraId="70A89D98">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GB/T1720 《漆膜附着力测定法》</w:t>
      </w:r>
    </w:p>
    <w:p w14:paraId="52F5CDCF">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 xml:space="preserve"> 上述标准应按最新且己实施的版本。</w:t>
      </w:r>
    </w:p>
    <w:p w14:paraId="1E669355">
      <w:pPr>
        <w:pStyle w:val="8"/>
        <w:spacing w:after="0" w:line="360" w:lineRule="auto"/>
        <w:ind w:firstLine="482" w:firstLineChars="200"/>
        <w:rPr>
          <w:rFonts w:hint="eastAsia" w:ascii="宋体" w:hAnsi="宋体"/>
          <w:b/>
          <w:bCs/>
          <w:color w:val="auto"/>
          <w:sz w:val="24"/>
          <w:szCs w:val="24"/>
        </w:rPr>
      </w:pPr>
      <w:r>
        <w:rPr>
          <w:rFonts w:hint="eastAsia" w:ascii="宋体" w:hAnsi="宋体"/>
          <w:b/>
          <w:bCs/>
          <w:color w:val="auto"/>
          <w:sz w:val="24"/>
          <w:szCs w:val="24"/>
          <w:lang w:val="en-US" w:eastAsia="zh-CN"/>
        </w:rPr>
        <w:t>四、</w:t>
      </w:r>
      <w:r>
        <w:rPr>
          <w:rFonts w:hint="eastAsia" w:ascii="宋体" w:hAnsi="宋体"/>
          <w:b/>
          <w:bCs/>
          <w:color w:val="auto"/>
          <w:sz w:val="24"/>
          <w:szCs w:val="24"/>
        </w:rPr>
        <w:t>工程实施要求</w:t>
      </w:r>
    </w:p>
    <w:p w14:paraId="7F28BEE0">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 xml:space="preserve"> 深化设计要求</w:t>
      </w:r>
    </w:p>
    <w:p w14:paraId="09C75207">
      <w:pPr>
        <w:pStyle w:val="8"/>
        <w:spacing w:after="0" w:line="360" w:lineRule="auto"/>
        <w:ind w:firstLine="240" w:firstLineChars="1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1</w:t>
      </w:r>
      <w:r>
        <w:rPr>
          <w:rFonts w:hint="eastAsia" w:ascii="宋体" w:hAnsi="宋体"/>
          <w:color w:val="auto"/>
          <w:sz w:val="24"/>
          <w:szCs w:val="24"/>
          <w:lang w:eastAsia="zh-CN"/>
        </w:rPr>
        <w:t>）</w:t>
      </w:r>
      <w:r>
        <w:rPr>
          <w:rFonts w:hint="eastAsia" w:ascii="宋体" w:hAnsi="宋体"/>
          <w:color w:val="auto"/>
          <w:sz w:val="24"/>
          <w:szCs w:val="24"/>
        </w:rPr>
        <w:t>标识及其安装构件设计应简单可靠、既先进又实用，满足标识不间断运行和低成本维护的需要。</w:t>
      </w:r>
    </w:p>
    <w:p w14:paraId="12D51B08">
      <w:pPr>
        <w:pStyle w:val="8"/>
        <w:spacing w:after="0" w:line="360" w:lineRule="auto"/>
        <w:ind w:firstLine="240" w:firstLineChars="1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2</w:t>
      </w:r>
      <w:r>
        <w:rPr>
          <w:rFonts w:hint="eastAsia" w:ascii="宋体" w:hAnsi="宋体"/>
          <w:color w:val="auto"/>
          <w:sz w:val="24"/>
          <w:szCs w:val="24"/>
          <w:lang w:eastAsia="zh-CN"/>
        </w:rPr>
        <w:t>）</w:t>
      </w:r>
      <w:r>
        <w:rPr>
          <w:rFonts w:hint="eastAsia" w:ascii="宋体" w:hAnsi="宋体"/>
          <w:color w:val="auto"/>
          <w:sz w:val="24"/>
          <w:szCs w:val="24"/>
        </w:rPr>
        <w:t>标识及其安装构件设计应充分考虑维修空间、土建结构等，做到维护方便。</w:t>
      </w:r>
    </w:p>
    <w:p w14:paraId="2C82CC97">
      <w:pPr>
        <w:pStyle w:val="8"/>
        <w:spacing w:after="0" w:line="360" w:lineRule="auto"/>
        <w:ind w:firstLine="240" w:firstLineChars="1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3</w:t>
      </w:r>
      <w:r>
        <w:rPr>
          <w:rFonts w:hint="eastAsia" w:ascii="宋体" w:hAnsi="宋体"/>
          <w:color w:val="auto"/>
          <w:sz w:val="24"/>
          <w:szCs w:val="24"/>
          <w:lang w:eastAsia="zh-CN"/>
        </w:rPr>
        <w:t>）</w:t>
      </w:r>
      <w:r>
        <w:rPr>
          <w:rFonts w:hint="eastAsia" w:ascii="宋体" w:hAnsi="宋体"/>
          <w:color w:val="auto"/>
          <w:sz w:val="24"/>
          <w:szCs w:val="24"/>
        </w:rPr>
        <w:t>标识及其安装构件的设计应充分考虑标识受力的安全系数，做到安全、可靠、牢固、持久、美观。</w:t>
      </w:r>
    </w:p>
    <w:p w14:paraId="5DA87257">
      <w:pPr>
        <w:pStyle w:val="8"/>
        <w:spacing w:after="0" w:line="360" w:lineRule="auto"/>
        <w:ind w:firstLine="240" w:firstLineChars="1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4</w:t>
      </w:r>
      <w:r>
        <w:rPr>
          <w:rFonts w:hint="eastAsia" w:ascii="宋体" w:hAnsi="宋体"/>
          <w:color w:val="auto"/>
          <w:sz w:val="24"/>
          <w:szCs w:val="24"/>
          <w:lang w:eastAsia="zh-CN"/>
        </w:rPr>
        <w:t>）</w:t>
      </w:r>
      <w:r>
        <w:rPr>
          <w:rFonts w:hint="eastAsia" w:ascii="宋体" w:hAnsi="宋体"/>
          <w:color w:val="auto"/>
          <w:sz w:val="24"/>
          <w:szCs w:val="24"/>
        </w:rPr>
        <w:t>投标人应对整个现场的施工规划和施工方案的适用性、稳定性和安全性负全面责任。</w:t>
      </w:r>
    </w:p>
    <w:p w14:paraId="007D2160">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生产制作</w:t>
      </w:r>
    </w:p>
    <w:p w14:paraId="10B4EB64">
      <w:pPr>
        <w:pStyle w:val="8"/>
        <w:spacing w:after="0" w:line="360" w:lineRule="auto"/>
        <w:ind w:firstLine="240" w:firstLineChars="1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1</w:t>
      </w:r>
      <w:r>
        <w:rPr>
          <w:rFonts w:hint="eastAsia" w:ascii="宋体" w:hAnsi="宋体"/>
          <w:color w:val="auto"/>
          <w:sz w:val="24"/>
          <w:szCs w:val="24"/>
          <w:lang w:eastAsia="zh-CN"/>
        </w:rPr>
        <w:t>）</w:t>
      </w:r>
      <w:r>
        <w:rPr>
          <w:rFonts w:hint="eastAsia" w:ascii="宋体" w:hAnsi="宋体"/>
          <w:color w:val="auto"/>
          <w:sz w:val="24"/>
          <w:szCs w:val="24"/>
        </w:rPr>
        <w:t xml:space="preserve"> 标识和安装构件所采用的材料应满足标识设施不易损毁、运行稳定的要求。</w:t>
      </w:r>
    </w:p>
    <w:p w14:paraId="135DD5B9">
      <w:pPr>
        <w:pStyle w:val="8"/>
        <w:spacing w:after="0" w:line="360" w:lineRule="auto"/>
        <w:ind w:firstLine="240" w:firstLineChars="1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2</w:t>
      </w:r>
      <w:r>
        <w:rPr>
          <w:rFonts w:hint="eastAsia" w:ascii="宋体" w:hAnsi="宋体"/>
          <w:color w:val="auto"/>
          <w:sz w:val="24"/>
          <w:szCs w:val="24"/>
          <w:lang w:eastAsia="zh-CN"/>
        </w:rPr>
        <w:t>）</w:t>
      </w:r>
      <w:r>
        <w:rPr>
          <w:rFonts w:hint="eastAsia" w:ascii="宋体" w:hAnsi="宋体"/>
          <w:color w:val="auto"/>
          <w:sz w:val="24"/>
          <w:szCs w:val="24"/>
        </w:rPr>
        <w:t>标识的制造工艺和光洁度应始终保持最高水准。</w:t>
      </w:r>
    </w:p>
    <w:p w14:paraId="2C0C33CD">
      <w:pPr>
        <w:pStyle w:val="8"/>
        <w:spacing w:after="0" w:line="360" w:lineRule="auto"/>
        <w:ind w:firstLine="240" w:firstLineChars="1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3</w:t>
      </w:r>
      <w:r>
        <w:rPr>
          <w:rFonts w:hint="eastAsia" w:ascii="宋体" w:hAnsi="宋体"/>
          <w:color w:val="auto"/>
          <w:sz w:val="24"/>
          <w:szCs w:val="24"/>
          <w:lang w:eastAsia="zh-CN"/>
        </w:rPr>
        <w:t>）</w:t>
      </w:r>
      <w:r>
        <w:rPr>
          <w:rFonts w:hint="eastAsia" w:ascii="宋体" w:hAnsi="宋体"/>
          <w:color w:val="auto"/>
          <w:sz w:val="24"/>
          <w:szCs w:val="24"/>
        </w:rPr>
        <w:t>标识表面折角处没有裂纹、毛刺、焊接等痕迹。</w:t>
      </w:r>
    </w:p>
    <w:p w14:paraId="3EA6DBD5">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供应</w:t>
      </w:r>
    </w:p>
    <w:p w14:paraId="01E93240">
      <w:pPr>
        <w:pStyle w:val="8"/>
        <w:spacing w:after="0" w:line="360" w:lineRule="auto"/>
        <w:ind w:firstLine="240" w:firstLineChars="1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1</w:t>
      </w:r>
      <w:r>
        <w:rPr>
          <w:rFonts w:hint="eastAsia" w:ascii="宋体" w:hAnsi="宋体"/>
          <w:color w:val="auto"/>
          <w:sz w:val="24"/>
          <w:szCs w:val="24"/>
          <w:lang w:eastAsia="zh-CN"/>
        </w:rPr>
        <w:t>）</w:t>
      </w:r>
      <w:r>
        <w:rPr>
          <w:rFonts w:hint="eastAsia" w:ascii="宋体" w:hAnsi="宋体"/>
          <w:color w:val="auto"/>
          <w:sz w:val="24"/>
          <w:szCs w:val="24"/>
        </w:rPr>
        <w:t>必须按照项目的进度要求提供合同货物。</w:t>
      </w:r>
    </w:p>
    <w:p w14:paraId="5904A5F9">
      <w:pPr>
        <w:pStyle w:val="8"/>
        <w:spacing w:after="0" w:line="360" w:lineRule="auto"/>
        <w:ind w:firstLine="240" w:firstLineChars="1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2</w:t>
      </w:r>
      <w:r>
        <w:rPr>
          <w:rFonts w:hint="eastAsia" w:ascii="宋体" w:hAnsi="宋体"/>
          <w:color w:val="auto"/>
          <w:sz w:val="24"/>
          <w:szCs w:val="24"/>
          <w:lang w:eastAsia="zh-CN"/>
        </w:rPr>
        <w:t>）</w:t>
      </w:r>
      <w:r>
        <w:rPr>
          <w:rFonts w:hint="eastAsia" w:ascii="宋体" w:hAnsi="宋体"/>
          <w:color w:val="auto"/>
          <w:sz w:val="24"/>
          <w:szCs w:val="24"/>
        </w:rPr>
        <w:t>提供必要的合同货物文件</w:t>
      </w:r>
      <w:r>
        <w:rPr>
          <w:rFonts w:hint="eastAsia" w:ascii="宋体" w:hAnsi="宋体"/>
          <w:color w:val="auto"/>
          <w:sz w:val="24"/>
          <w:szCs w:val="24"/>
          <w:lang w:eastAsia="zh-CN"/>
        </w:rPr>
        <w:t>：</w:t>
      </w:r>
      <w:r>
        <w:rPr>
          <w:rFonts w:hint="eastAsia" w:ascii="宋体" w:hAnsi="宋体"/>
          <w:color w:val="auto"/>
          <w:sz w:val="24"/>
          <w:szCs w:val="24"/>
        </w:rPr>
        <w:t>供货标识清单、检验记录、标识的样本资料及主要标识的技术资料和图纸。</w:t>
      </w:r>
    </w:p>
    <w:p w14:paraId="06EF13AD">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、材料品牌要求</w:t>
      </w:r>
    </w:p>
    <w:tbl>
      <w:tblPr>
        <w:tblStyle w:val="19"/>
        <w:tblW w:w="8880" w:type="dxa"/>
        <w:tblInd w:w="93" w:type="dxa"/>
        <w:tblLayout w:type="autofit"/>
        <w:tblCellMar>
          <w:top w:w="0" w:type="dxa"/>
          <w:left w:w="108" w:type="dxa"/>
          <w:bottom w:w="0" w:type="dxa"/>
          <w:right w:w="108" w:type="dxa"/>
        </w:tblCellMar>
      </w:tblPr>
      <w:tblGrid>
        <w:gridCol w:w="1080"/>
        <w:gridCol w:w="3000"/>
        <w:gridCol w:w="4800"/>
      </w:tblGrid>
      <w:tr w14:paraId="5CBF9C44">
        <w:tblPrEx>
          <w:tblCellMar>
            <w:top w:w="0" w:type="dxa"/>
            <w:left w:w="108" w:type="dxa"/>
            <w:bottom w:w="0" w:type="dxa"/>
            <w:right w:w="108" w:type="dxa"/>
          </w:tblCellMar>
        </w:tblPrEx>
        <w:trPr>
          <w:trHeight w:val="600" w:hRule="atLeast"/>
        </w:trPr>
        <w:tc>
          <w:tcPr>
            <w:tcW w:w="1080" w:type="dxa"/>
            <w:tcBorders>
              <w:top w:val="single" w:color="auto" w:sz="4" w:space="0"/>
              <w:left w:val="single" w:color="auto" w:sz="4" w:space="0"/>
              <w:bottom w:val="single" w:color="auto" w:sz="4" w:space="0"/>
              <w:right w:val="single" w:color="auto" w:sz="4" w:space="0"/>
            </w:tcBorders>
            <w:noWrap/>
            <w:vAlign w:val="center"/>
          </w:tcPr>
          <w:p w14:paraId="2B3D95A3">
            <w:pPr>
              <w:pStyle w:val="8"/>
              <w:spacing w:after="0" w:line="360" w:lineRule="auto"/>
              <w:ind w:firstLine="240" w:firstLineChars="100"/>
              <w:jc w:val="center"/>
              <w:rPr>
                <w:rFonts w:hint="eastAsia" w:ascii="宋体" w:hAnsi="宋体"/>
                <w:color w:val="auto"/>
                <w:sz w:val="24"/>
                <w:szCs w:val="24"/>
              </w:rPr>
            </w:pPr>
            <w:r>
              <w:rPr>
                <w:rFonts w:hint="eastAsia" w:ascii="宋体" w:hAnsi="宋体"/>
                <w:color w:val="auto"/>
                <w:sz w:val="24"/>
                <w:szCs w:val="24"/>
              </w:rPr>
              <w:t>序号</w:t>
            </w:r>
          </w:p>
        </w:tc>
        <w:tc>
          <w:tcPr>
            <w:tcW w:w="3000" w:type="dxa"/>
            <w:tcBorders>
              <w:top w:val="single" w:color="auto" w:sz="4" w:space="0"/>
              <w:left w:val="nil"/>
              <w:bottom w:val="single" w:color="auto" w:sz="4" w:space="0"/>
              <w:right w:val="single" w:color="auto" w:sz="4" w:space="0"/>
            </w:tcBorders>
            <w:noWrap/>
            <w:vAlign w:val="center"/>
          </w:tcPr>
          <w:p w14:paraId="67A421C0">
            <w:pPr>
              <w:pStyle w:val="8"/>
              <w:spacing w:after="0" w:line="360" w:lineRule="auto"/>
              <w:ind w:firstLine="480" w:firstLineChars="200"/>
              <w:jc w:val="center"/>
              <w:rPr>
                <w:rFonts w:hint="eastAsia" w:ascii="宋体" w:hAnsi="宋体"/>
                <w:color w:val="auto"/>
                <w:sz w:val="24"/>
                <w:szCs w:val="24"/>
              </w:rPr>
            </w:pPr>
            <w:r>
              <w:rPr>
                <w:rFonts w:hint="eastAsia" w:ascii="宋体" w:hAnsi="宋体"/>
                <w:color w:val="auto"/>
                <w:sz w:val="24"/>
                <w:szCs w:val="24"/>
              </w:rPr>
              <w:t>材料设备类别</w:t>
            </w:r>
          </w:p>
        </w:tc>
        <w:tc>
          <w:tcPr>
            <w:tcW w:w="4800" w:type="dxa"/>
            <w:tcBorders>
              <w:top w:val="single" w:color="auto" w:sz="4" w:space="0"/>
              <w:left w:val="nil"/>
              <w:bottom w:val="single" w:color="auto" w:sz="4" w:space="0"/>
              <w:right w:val="single" w:color="auto" w:sz="4" w:space="0"/>
            </w:tcBorders>
            <w:noWrap/>
            <w:vAlign w:val="center"/>
          </w:tcPr>
          <w:p w14:paraId="77737E53">
            <w:pPr>
              <w:pStyle w:val="8"/>
              <w:spacing w:after="0" w:line="360" w:lineRule="auto"/>
              <w:ind w:firstLine="480" w:firstLineChars="200"/>
              <w:jc w:val="center"/>
              <w:rPr>
                <w:rFonts w:hint="default" w:ascii="宋体" w:hAnsi="宋体" w:eastAsia="宋体"/>
                <w:color w:val="auto"/>
                <w:sz w:val="24"/>
                <w:szCs w:val="24"/>
                <w:lang w:val="en-US" w:eastAsia="zh-CN"/>
              </w:rPr>
            </w:pPr>
            <w:r>
              <w:rPr>
                <w:rFonts w:hint="eastAsia" w:ascii="宋体" w:hAnsi="宋体"/>
                <w:color w:val="auto"/>
                <w:sz w:val="24"/>
                <w:szCs w:val="24"/>
              </w:rPr>
              <w:t>参考品牌</w:t>
            </w:r>
            <w:r>
              <w:rPr>
                <w:rFonts w:hint="eastAsia" w:ascii="宋体" w:hAnsi="宋体"/>
                <w:color w:val="auto"/>
                <w:sz w:val="24"/>
                <w:szCs w:val="24"/>
                <w:lang w:val="en-US" w:eastAsia="zh-CN"/>
              </w:rPr>
              <w:t>或同等品牌</w:t>
            </w:r>
          </w:p>
        </w:tc>
      </w:tr>
      <w:tr w14:paraId="70AD8857">
        <w:tblPrEx>
          <w:tblCellMar>
            <w:top w:w="0" w:type="dxa"/>
            <w:left w:w="108" w:type="dxa"/>
            <w:bottom w:w="0" w:type="dxa"/>
            <w:right w:w="108" w:type="dxa"/>
          </w:tblCellMar>
        </w:tblPrEx>
        <w:trPr>
          <w:trHeight w:val="600" w:hRule="atLeast"/>
        </w:trPr>
        <w:tc>
          <w:tcPr>
            <w:tcW w:w="1080" w:type="dxa"/>
            <w:tcBorders>
              <w:top w:val="nil"/>
              <w:left w:val="single" w:color="auto" w:sz="4" w:space="0"/>
              <w:bottom w:val="single" w:color="auto" w:sz="4" w:space="0"/>
              <w:right w:val="single" w:color="auto" w:sz="4" w:space="0"/>
            </w:tcBorders>
            <w:noWrap/>
            <w:vAlign w:val="center"/>
          </w:tcPr>
          <w:p w14:paraId="0709EB20">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1</w:t>
            </w:r>
          </w:p>
        </w:tc>
        <w:tc>
          <w:tcPr>
            <w:tcW w:w="3000" w:type="dxa"/>
            <w:tcBorders>
              <w:top w:val="nil"/>
              <w:left w:val="nil"/>
              <w:bottom w:val="single" w:color="auto" w:sz="4" w:space="0"/>
              <w:right w:val="single" w:color="auto" w:sz="4" w:space="0"/>
            </w:tcBorders>
            <w:noWrap/>
            <w:vAlign w:val="center"/>
          </w:tcPr>
          <w:p w14:paraId="7BEDDC95">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LED光源芯片</w:t>
            </w:r>
          </w:p>
        </w:tc>
        <w:tc>
          <w:tcPr>
            <w:tcW w:w="4800" w:type="dxa"/>
            <w:tcBorders>
              <w:top w:val="nil"/>
              <w:left w:val="nil"/>
              <w:bottom w:val="single" w:color="auto" w:sz="4" w:space="0"/>
              <w:right w:val="single" w:color="auto" w:sz="4" w:space="0"/>
            </w:tcBorders>
            <w:noWrap/>
            <w:vAlign w:val="center"/>
          </w:tcPr>
          <w:p w14:paraId="7582AF19">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欧司朗、飞利浦、C</w:t>
            </w:r>
            <w:r>
              <w:rPr>
                <w:rFonts w:hint="eastAsia" w:ascii="宋体" w:hAnsi="宋体"/>
                <w:color w:val="auto"/>
                <w:sz w:val="24"/>
                <w:szCs w:val="24"/>
                <w:lang w:val="en-US" w:eastAsia="zh-CN"/>
              </w:rPr>
              <w:t>REE</w:t>
            </w:r>
            <w:r>
              <w:rPr>
                <w:rFonts w:hint="eastAsia" w:ascii="宋体" w:hAnsi="宋体"/>
                <w:color w:val="auto"/>
                <w:sz w:val="24"/>
                <w:szCs w:val="24"/>
              </w:rPr>
              <w:t xml:space="preserve"> </w:t>
            </w:r>
          </w:p>
        </w:tc>
      </w:tr>
      <w:tr w14:paraId="1113CF62">
        <w:tblPrEx>
          <w:tblCellMar>
            <w:top w:w="0" w:type="dxa"/>
            <w:left w:w="108" w:type="dxa"/>
            <w:bottom w:w="0" w:type="dxa"/>
            <w:right w:w="108" w:type="dxa"/>
          </w:tblCellMar>
        </w:tblPrEx>
        <w:trPr>
          <w:trHeight w:val="600" w:hRule="atLeast"/>
        </w:trPr>
        <w:tc>
          <w:tcPr>
            <w:tcW w:w="1080" w:type="dxa"/>
            <w:tcBorders>
              <w:top w:val="nil"/>
              <w:left w:val="single" w:color="auto" w:sz="4" w:space="0"/>
              <w:bottom w:val="single" w:color="auto" w:sz="4" w:space="0"/>
              <w:right w:val="single" w:color="auto" w:sz="4" w:space="0"/>
            </w:tcBorders>
            <w:noWrap/>
            <w:vAlign w:val="center"/>
          </w:tcPr>
          <w:p w14:paraId="476CC1A4">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3</w:t>
            </w:r>
          </w:p>
        </w:tc>
        <w:tc>
          <w:tcPr>
            <w:tcW w:w="3000" w:type="dxa"/>
            <w:tcBorders>
              <w:top w:val="nil"/>
              <w:left w:val="nil"/>
              <w:bottom w:val="single" w:color="auto" w:sz="4" w:space="0"/>
              <w:right w:val="single" w:color="auto" w:sz="4" w:space="0"/>
            </w:tcBorders>
            <w:noWrap/>
            <w:vAlign w:val="center"/>
          </w:tcPr>
          <w:p w14:paraId="31264B02">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1.0</w:t>
            </w:r>
            <w:r>
              <w:rPr>
                <w:rFonts w:hint="eastAsia" w:ascii="宋体" w:hAnsi="宋体"/>
                <w:color w:val="auto"/>
                <w:sz w:val="24"/>
                <w:szCs w:val="24"/>
              </w:rPr>
              <w:t>mm</w:t>
            </w:r>
            <w:r>
              <w:rPr>
                <w:rFonts w:hint="eastAsia" w:ascii="宋体" w:hAnsi="宋体"/>
                <w:color w:val="auto"/>
                <w:sz w:val="24"/>
                <w:szCs w:val="24"/>
                <w:lang w:val="en-US" w:eastAsia="zh-CN"/>
              </w:rPr>
              <w:t xml:space="preserve">  </w:t>
            </w:r>
            <w:r>
              <w:rPr>
                <w:rFonts w:hint="eastAsia" w:ascii="宋体" w:hAnsi="宋体"/>
                <w:color w:val="auto"/>
                <w:sz w:val="24"/>
                <w:szCs w:val="24"/>
              </w:rPr>
              <w:t>304不锈钢</w:t>
            </w:r>
          </w:p>
        </w:tc>
        <w:tc>
          <w:tcPr>
            <w:tcW w:w="4800" w:type="dxa"/>
            <w:tcBorders>
              <w:top w:val="nil"/>
              <w:left w:val="nil"/>
              <w:bottom w:val="single" w:color="auto" w:sz="4" w:space="0"/>
              <w:right w:val="single" w:color="auto" w:sz="4" w:space="0"/>
            </w:tcBorders>
            <w:noWrap/>
            <w:vAlign w:val="center"/>
          </w:tcPr>
          <w:p w14:paraId="0D80C5A5">
            <w:pPr>
              <w:pStyle w:val="8"/>
              <w:spacing w:after="0" w:line="360" w:lineRule="auto"/>
              <w:ind w:firstLine="480" w:firstLineChars="200"/>
              <w:rPr>
                <w:rFonts w:hint="eastAsia" w:ascii="宋体" w:hAnsi="宋体" w:eastAsia="宋体"/>
                <w:color w:val="auto"/>
                <w:sz w:val="24"/>
                <w:szCs w:val="24"/>
                <w:lang w:val="en-US" w:eastAsia="zh-CN"/>
              </w:rPr>
            </w:pPr>
            <w:r>
              <w:rPr>
                <w:rFonts w:hint="eastAsia" w:ascii="宋体" w:hAnsi="宋体"/>
                <w:color w:val="auto"/>
                <w:sz w:val="24"/>
                <w:szCs w:val="24"/>
              </w:rPr>
              <w:t>宝钢、太钢、酒钢、联众</w:t>
            </w:r>
          </w:p>
        </w:tc>
      </w:tr>
      <w:tr w14:paraId="5099D885">
        <w:tblPrEx>
          <w:tblCellMar>
            <w:top w:w="0" w:type="dxa"/>
            <w:left w:w="108" w:type="dxa"/>
            <w:bottom w:w="0" w:type="dxa"/>
            <w:right w:w="108" w:type="dxa"/>
          </w:tblCellMar>
        </w:tblPrEx>
        <w:trPr>
          <w:trHeight w:val="600" w:hRule="atLeast"/>
        </w:trPr>
        <w:tc>
          <w:tcPr>
            <w:tcW w:w="1080" w:type="dxa"/>
            <w:tcBorders>
              <w:top w:val="nil"/>
              <w:left w:val="single" w:color="auto" w:sz="4" w:space="0"/>
              <w:bottom w:val="single" w:color="auto" w:sz="4" w:space="0"/>
              <w:right w:val="single" w:color="auto" w:sz="4" w:space="0"/>
            </w:tcBorders>
            <w:noWrap/>
            <w:vAlign w:val="center"/>
          </w:tcPr>
          <w:p w14:paraId="561127DD">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4</w:t>
            </w:r>
          </w:p>
        </w:tc>
        <w:tc>
          <w:tcPr>
            <w:tcW w:w="3000" w:type="dxa"/>
            <w:tcBorders>
              <w:top w:val="nil"/>
              <w:left w:val="nil"/>
              <w:bottom w:val="single" w:color="auto" w:sz="4" w:space="0"/>
              <w:right w:val="single" w:color="auto" w:sz="4" w:space="0"/>
            </w:tcBorders>
            <w:noWrap/>
            <w:vAlign w:val="center"/>
          </w:tcPr>
          <w:p w14:paraId="6598E55D">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2.0</w:t>
            </w:r>
            <w:r>
              <w:rPr>
                <w:rFonts w:hint="eastAsia" w:ascii="宋体" w:hAnsi="宋体"/>
                <w:color w:val="auto"/>
                <w:sz w:val="24"/>
                <w:szCs w:val="24"/>
              </w:rPr>
              <w:t>mm</w:t>
            </w:r>
            <w:r>
              <w:rPr>
                <w:rFonts w:hint="eastAsia" w:ascii="宋体" w:hAnsi="宋体"/>
                <w:color w:val="auto"/>
                <w:sz w:val="24"/>
                <w:szCs w:val="24"/>
                <w:lang w:val="en-US" w:eastAsia="zh-CN"/>
              </w:rPr>
              <w:t xml:space="preserve">  </w:t>
            </w:r>
            <w:r>
              <w:rPr>
                <w:rFonts w:hint="eastAsia" w:ascii="宋体" w:hAnsi="宋体"/>
                <w:color w:val="auto"/>
                <w:sz w:val="24"/>
                <w:szCs w:val="24"/>
              </w:rPr>
              <w:t>铝板</w:t>
            </w:r>
          </w:p>
        </w:tc>
        <w:tc>
          <w:tcPr>
            <w:tcW w:w="4800" w:type="dxa"/>
            <w:tcBorders>
              <w:top w:val="nil"/>
              <w:left w:val="nil"/>
              <w:bottom w:val="single" w:color="auto" w:sz="4" w:space="0"/>
              <w:right w:val="single" w:color="auto" w:sz="4" w:space="0"/>
            </w:tcBorders>
            <w:noWrap/>
            <w:vAlign w:val="center"/>
          </w:tcPr>
          <w:p w14:paraId="5B658603">
            <w:pPr>
              <w:pStyle w:val="8"/>
              <w:spacing w:after="0" w:line="360" w:lineRule="auto"/>
              <w:ind w:firstLine="480" w:firstLineChars="200"/>
              <w:rPr>
                <w:rFonts w:hint="eastAsia" w:ascii="宋体" w:hAnsi="宋体" w:eastAsia="宋体"/>
                <w:color w:val="auto"/>
                <w:sz w:val="24"/>
                <w:szCs w:val="24"/>
                <w:lang w:val="en-US" w:eastAsia="zh-CN"/>
              </w:rPr>
            </w:pPr>
            <w:r>
              <w:rPr>
                <w:rFonts w:hint="eastAsia" w:ascii="宋体" w:hAnsi="宋体"/>
                <w:color w:val="auto"/>
                <w:sz w:val="24"/>
                <w:szCs w:val="24"/>
              </w:rPr>
              <w:t>鑫泰、凤铝、方大</w:t>
            </w:r>
          </w:p>
        </w:tc>
      </w:tr>
      <w:tr w14:paraId="28559051">
        <w:tblPrEx>
          <w:tblCellMar>
            <w:top w:w="0" w:type="dxa"/>
            <w:left w:w="108" w:type="dxa"/>
            <w:bottom w:w="0" w:type="dxa"/>
            <w:right w:w="108" w:type="dxa"/>
          </w:tblCellMar>
        </w:tblPrEx>
        <w:trPr>
          <w:trHeight w:val="600" w:hRule="atLeast"/>
        </w:trPr>
        <w:tc>
          <w:tcPr>
            <w:tcW w:w="1080" w:type="dxa"/>
            <w:tcBorders>
              <w:top w:val="nil"/>
              <w:left w:val="single" w:color="auto" w:sz="4" w:space="0"/>
              <w:bottom w:val="single" w:color="auto" w:sz="4" w:space="0"/>
              <w:right w:val="single" w:color="auto" w:sz="4" w:space="0"/>
            </w:tcBorders>
            <w:noWrap/>
            <w:vAlign w:val="center"/>
          </w:tcPr>
          <w:p w14:paraId="23577F4E">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5</w:t>
            </w:r>
          </w:p>
        </w:tc>
        <w:tc>
          <w:tcPr>
            <w:tcW w:w="3000" w:type="dxa"/>
            <w:tcBorders>
              <w:top w:val="nil"/>
              <w:left w:val="nil"/>
              <w:bottom w:val="single" w:color="auto" w:sz="4" w:space="0"/>
              <w:right w:val="single" w:color="auto" w:sz="4" w:space="0"/>
            </w:tcBorders>
            <w:noWrap/>
            <w:vAlign w:val="center"/>
          </w:tcPr>
          <w:p w14:paraId="793C6437">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PC耐力板/亚克力板</w:t>
            </w:r>
          </w:p>
        </w:tc>
        <w:tc>
          <w:tcPr>
            <w:tcW w:w="4800" w:type="dxa"/>
            <w:tcBorders>
              <w:top w:val="nil"/>
              <w:left w:val="nil"/>
              <w:bottom w:val="single" w:color="auto" w:sz="4" w:space="0"/>
              <w:right w:val="single" w:color="auto" w:sz="4" w:space="0"/>
            </w:tcBorders>
            <w:noWrap/>
            <w:vAlign w:val="center"/>
          </w:tcPr>
          <w:p w14:paraId="456A0829">
            <w:pPr>
              <w:pStyle w:val="8"/>
              <w:spacing w:after="0" w:line="360" w:lineRule="auto"/>
              <w:ind w:firstLine="480" w:firstLineChars="200"/>
              <w:rPr>
                <w:rFonts w:hint="eastAsia" w:ascii="宋体" w:hAnsi="宋体" w:eastAsia="宋体"/>
                <w:color w:val="auto"/>
                <w:sz w:val="24"/>
                <w:szCs w:val="24"/>
                <w:lang w:val="en-US" w:eastAsia="zh-CN"/>
              </w:rPr>
            </w:pPr>
            <w:r>
              <w:rPr>
                <w:rFonts w:hint="eastAsia" w:ascii="宋体" w:hAnsi="宋体"/>
                <w:color w:val="auto"/>
                <w:sz w:val="24"/>
                <w:szCs w:val="24"/>
              </w:rPr>
              <w:t>汇丽、三菱、固德赛</w:t>
            </w:r>
          </w:p>
        </w:tc>
      </w:tr>
      <w:tr w14:paraId="2436A042">
        <w:tblPrEx>
          <w:tblCellMar>
            <w:top w:w="0" w:type="dxa"/>
            <w:left w:w="108" w:type="dxa"/>
            <w:bottom w:w="0" w:type="dxa"/>
            <w:right w:w="108" w:type="dxa"/>
          </w:tblCellMar>
        </w:tblPrEx>
        <w:trPr>
          <w:trHeight w:val="600" w:hRule="atLeast"/>
        </w:trPr>
        <w:tc>
          <w:tcPr>
            <w:tcW w:w="1080" w:type="dxa"/>
            <w:tcBorders>
              <w:top w:val="nil"/>
              <w:left w:val="single" w:color="auto" w:sz="4" w:space="0"/>
              <w:bottom w:val="single" w:color="auto" w:sz="4" w:space="0"/>
              <w:right w:val="single" w:color="auto" w:sz="4" w:space="0"/>
            </w:tcBorders>
            <w:noWrap/>
            <w:vAlign w:val="center"/>
          </w:tcPr>
          <w:p w14:paraId="580335A8">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6</w:t>
            </w:r>
          </w:p>
        </w:tc>
        <w:tc>
          <w:tcPr>
            <w:tcW w:w="3000" w:type="dxa"/>
            <w:tcBorders>
              <w:top w:val="nil"/>
              <w:left w:val="nil"/>
              <w:bottom w:val="single" w:color="auto" w:sz="4" w:space="0"/>
              <w:right w:val="single" w:color="auto" w:sz="4" w:space="0"/>
            </w:tcBorders>
            <w:noWrap/>
            <w:vAlign w:val="center"/>
          </w:tcPr>
          <w:p w14:paraId="4AAB59DE">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电源</w:t>
            </w:r>
          </w:p>
        </w:tc>
        <w:tc>
          <w:tcPr>
            <w:tcW w:w="4800" w:type="dxa"/>
            <w:tcBorders>
              <w:top w:val="nil"/>
              <w:left w:val="nil"/>
              <w:bottom w:val="single" w:color="auto" w:sz="4" w:space="0"/>
              <w:right w:val="single" w:color="auto" w:sz="4" w:space="0"/>
            </w:tcBorders>
            <w:noWrap/>
            <w:vAlign w:val="center"/>
          </w:tcPr>
          <w:p w14:paraId="22487DA8">
            <w:pPr>
              <w:pStyle w:val="8"/>
              <w:spacing w:after="0" w:line="360" w:lineRule="auto"/>
              <w:ind w:firstLine="480" w:firstLineChars="200"/>
              <w:rPr>
                <w:rFonts w:hint="eastAsia" w:ascii="宋体" w:hAnsi="宋体" w:eastAsia="宋体"/>
                <w:color w:val="auto"/>
                <w:sz w:val="24"/>
                <w:szCs w:val="24"/>
                <w:lang w:val="en-US" w:eastAsia="zh-CN"/>
              </w:rPr>
            </w:pPr>
            <w:r>
              <w:rPr>
                <w:rFonts w:hint="eastAsia" w:ascii="宋体" w:hAnsi="宋体"/>
                <w:color w:val="auto"/>
                <w:sz w:val="24"/>
                <w:szCs w:val="24"/>
              </w:rPr>
              <w:t>明纬、蓝景、衡孚</w:t>
            </w:r>
          </w:p>
        </w:tc>
      </w:tr>
      <w:tr w14:paraId="440744A0">
        <w:tblPrEx>
          <w:tblCellMar>
            <w:top w:w="0" w:type="dxa"/>
            <w:left w:w="108" w:type="dxa"/>
            <w:bottom w:w="0" w:type="dxa"/>
            <w:right w:w="108" w:type="dxa"/>
          </w:tblCellMar>
        </w:tblPrEx>
        <w:trPr>
          <w:trHeight w:val="600" w:hRule="atLeast"/>
        </w:trPr>
        <w:tc>
          <w:tcPr>
            <w:tcW w:w="1080" w:type="dxa"/>
            <w:tcBorders>
              <w:top w:val="nil"/>
              <w:left w:val="single" w:color="auto" w:sz="4" w:space="0"/>
              <w:bottom w:val="single" w:color="auto" w:sz="4" w:space="0"/>
              <w:right w:val="single" w:color="auto" w:sz="4" w:space="0"/>
            </w:tcBorders>
            <w:noWrap/>
            <w:vAlign w:val="center"/>
          </w:tcPr>
          <w:p w14:paraId="732E74E1">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7</w:t>
            </w:r>
          </w:p>
        </w:tc>
        <w:tc>
          <w:tcPr>
            <w:tcW w:w="3000" w:type="dxa"/>
            <w:tcBorders>
              <w:top w:val="nil"/>
              <w:left w:val="nil"/>
              <w:bottom w:val="single" w:color="auto" w:sz="4" w:space="0"/>
              <w:right w:val="single" w:color="auto" w:sz="4" w:space="0"/>
            </w:tcBorders>
            <w:noWrap/>
            <w:vAlign w:val="center"/>
          </w:tcPr>
          <w:p w14:paraId="33F7851B">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油漆</w:t>
            </w:r>
          </w:p>
        </w:tc>
        <w:tc>
          <w:tcPr>
            <w:tcW w:w="4800" w:type="dxa"/>
            <w:tcBorders>
              <w:top w:val="nil"/>
              <w:left w:val="nil"/>
              <w:bottom w:val="single" w:color="auto" w:sz="4" w:space="0"/>
              <w:right w:val="single" w:color="auto" w:sz="4" w:space="0"/>
            </w:tcBorders>
            <w:noWrap/>
            <w:vAlign w:val="center"/>
          </w:tcPr>
          <w:p w14:paraId="668CFEF6">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PPG、</w:t>
            </w:r>
            <w:r>
              <w:rPr>
                <w:rFonts w:hint="eastAsia" w:ascii="宋体" w:hAnsi="宋体"/>
                <w:color w:val="auto"/>
                <w:sz w:val="24"/>
                <w:szCs w:val="24"/>
              </w:rPr>
              <w:t>立邦、阿克苏/SICN</w:t>
            </w:r>
          </w:p>
        </w:tc>
      </w:tr>
      <w:tr w14:paraId="57304921">
        <w:tblPrEx>
          <w:tblCellMar>
            <w:top w:w="0" w:type="dxa"/>
            <w:left w:w="108" w:type="dxa"/>
            <w:bottom w:w="0" w:type="dxa"/>
            <w:right w:w="108" w:type="dxa"/>
          </w:tblCellMar>
        </w:tblPrEx>
        <w:trPr>
          <w:trHeight w:val="600" w:hRule="atLeast"/>
        </w:trPr>
        <w:tc>
          <w:tcPr>
            <w:tcW w:w="1080" w:type="dxa"/>
            <w:tcBorders>
              <w:top w:val="nil"/>
              <w:left w:val="single" w:color="auto" w:sz="4" w:space="0"/>
              <w:bottom w:val="single" w:color="auto" w:sz="4" w:space="0"/>
              <w:right w:val="single" w:color="auto" w:sz="4" w:space="0"/>
            </w:tcBorders>
            <w:noWrap/>
            <w:vAlign w:val="center"/>
          </w:tcPr>
          <w:p w14:paraId="5C58D369">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8</w:t>
            </w:r>
          </w:p>
        </w:tc>
        <w:tc>
          <w:tcPr>
            <w:tcW w:w="3000" w:type="dxa"/>
            <w:tcBorders>
              <w:top w:val="nil"/>
              <w:left w:val="nil"/>
              <w:bottom w:val="single" w:color="auto" w:sz="4" w:space="0"/>
              <w:right w:val="single" w:color="auto" w:sz="4" w:space="0"/>
            </w:tcBorders>
            <w:noWrap/>
            <w:vAlign w:val="center"/>
          </w:tcPr>
          <w:p w14:paraId="755D8AE8">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电源线</w:t>
            </w:r>
          </w:p>
        </w:tc>
        <w:tc>
          <w:tcPr>
            <w:tcW w:w="4800" w:type="dxa"/>
            <w:tcBorders>
              <w:top w:val="nil"/>
              <w:left w:val="nil"/>
              <w:bottom w:val="single" w:color="auto" w:sz="4" w:space="0"/>
              <w:right w:val="single" w:color="auto" w:sz="4" w:space="0"/>
            </w:tcBorders>
            <w:noWrap/>
            <w:vAlign w:val="center"/>
          </w:tcPr>
          <w:p w14:paraId="4435045C">
            <w:pPr>
              <w:pStyle w:val="8"/>
              <w:spacing w:after="0" w:line="360" w:lineRule="auto"/>
              <w:ind w:firstLine="480" w:firstLineChars="200"/>
              <w:rPr>
                <w:rFonts w:hint="default" w:ascii="宋体" w:hAnsi="宋体"/>
                <w:color w:val="auto"/>
                <w:sz w:val="24"/>
                <w:szCs w:val="24"/>
                <w:lang w:val="en-US" w:eastAsia="zh-CN"/>
              </w:rPr>
            </w:pPr>
            <w:r>
              <w:rPr>
                <w:rFonts w:hint="eastAsia" w:ascii="宋体" w:hAnsi="宋体"/>
                <w:color w:val="auto"/>
                <w:sz w:val="24"/>
                <w:szCs w:val="24"/>
                <w:lang w:val="en-US" w:eastAsia="zh-CN"/>
              </w:rPr>
              <w:t>金龙羽</w:t>
            </w:r>
            <w:r>
              <w:rPr>
                <w:rFonts w:hint="eastAsia" w:ascii="宋体" w:hAnsi="宋体"/>
                <w:color w:val="auto"/>
                <w:sz w:val="24"/>
                <w:szCs w:val="24"/>
              </w:rPr>
              <w:t>、</w:t>
            </w:r>
            <w:r>
              <w:rPr>
                <w:rFonts w:hint="eastAsia" w:ascii="宋体" w:hAnsi="宋体"/>
                <w:color w:val="auto"/>
                <w:sz w:val="24"/>
                <w:szCs w:val="24"/>
                <w:lang w:val="en-US" w:eastAsia="zh-CN"/>
              </w:rPr>
              <w:t>金环宇</w:t>
            </w:r>
          </w:p>
        </w:tc>
      </w:tr>
      <w:tr w14:paraId="075912E7">
        <w:tblPrEx>
          <w:tblCellMar>
            <w:top w:w="0" w:type="dxa"/>
            <w:left w:w="108" w:type="dxa"/>
            <w:bottom w:w="0" w:type="dxa"/>
            <w:right w:w="108" w:type="dxa"/>
          </w:tblCellMar>
        </w:tblPrEx>
        <w:trPr>
          <w:trHeight w:val="600" w:hRule="atLeast"/>
        </w:trPr>
        <w:tc>
          <w:tcPr>
            <w:tcW w:w="1080" w:type="dxa"/>
            <w:tcBorders>
              <w:top w:val="nil"/>
              <w:left w:val="single" w:color="auto" w:sz="4" w:space="0"/>
              <w:bottom w:val="single" w:color="auto" w:sz="4" w:space="0"/>
              <w:right w:val="single" w:color="auto" w:sz="4" w:space="0"/>
            </w:tcBorders>
            <w:noWrap/>
            <w:vAlign w:val="center"/>
          </w:tcPr>
          <w:p w14:paraId="36112082">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9</w:t>
            </w:r>
          </w:p>
        </w:tc>
        <w:tc>
          <w:tcPr>
            <w:tcW w:w="3000" w:type="dxa"/>
            <w:tcBorders>
              <w:top w:val="nil"/>
              <w:left w:val="nil"/>
              <w:bottom w:val="single" w:color="auto" w:sz="4" w:space="0"/>
              <w:right w:val="single" w:color="auto" w:sz="4" w:space="0"/>
            </w:tcBorders>
            <w:noWrap/>
            <w:vAlign w:val="center"/>
          </w:tcPr>
          <w:p w14:paraId="19047DF0">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电缆护套</w:t>
            </w:r>
          </w:p>
        </w:tc>
        <w:tc>
          <w:tcPr>
            <w:tcW w:w="4800" w:type="dxa"/>
            <w:tcBorders>
              <w:top w:val="nil"/>
              <w:left w:val="nil"/>
              <w:bottom w:val="single" w:color="auto" w:sz="4" w:space="0"/>
              <w:right w:val="single" w:color="auto" w:sz="4" w:space="0"/>
            </w:tcBorders>
            <w:noWrap/>
            <w:vAlign w:val="center"/>
          </w:tcPr>
          <w:p w14:paraId="2E93E2B8">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联塑、日丰、保利</w:t>
            </w:r>
          </w:p>
        </w:tc>
      </w:tr>
      <w:tr w14:paraId="65ABC1D7">
        <w:tblPrEx>
          <w:tblCellMar>
            <w:top w:w="0" w:type="dxa"/>
            <w:left w:w="108" w:type="dxa"/>
            <w:bottom w:w="0" w:type="dxa"/>
            <w:right w:w="108" w:type="dxa"/>
          </w:tblCellMar>
        </w:tblPrEx>
        <w:trPr>
          <w:trHeight w:val="600" w:hRule="atLeast"/>
        </w:trPr>
        <w:tc>
          <w:tcPr>
            <w:tcW w:w="1080" w:type="dxa"/>
            <w:tcBorders>
              <w:top w:val="nil"/>
              <w:left w:val="single" w:color="auto" w:sz="4" w:space="0"/>
              <w:bottom w:val="single" w:color="auto" w:sz="4" w:space="0"/>
              <w:right w:val="single" w:color="auto" w:sz="4" w:space="0"/>
            </w:tcBorders>
            <w:noWrap/>
            <w:vAlign w:val="center"/>
          </w:tcPr>
          <w:p w14:paraId="3AEECBE7">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10</w:t>
            </w:r>
          </w:p>
        </w:tc>
        <w:tc>
          <w:tcPr>
            <w:tcW w:w="3000" w:type="dxa"/>
            <w:tcBorders>
              <w:top w:val="nil"/>
              <w:left w:val="nil"/>
              <w:bottom w:val="single" w:color="auto" w:sz="4" w:space="0"/>
              <w:right w:val="single" w:color="auto" w:sz="4" w:space="0"/>
            </w:tcBorders>
            <w:noWrap/>
            <w:vAlign w:val="center"/>
          </w:tcPr>
          <w:p w14:paraId="6DD5834B">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电气</w:t>
            </w:r>
          </w:p>
        </w:tc>
        <w:tc>
          <w:tcPr>
            <w:tcW w:w="4800" w:type="dxa"/>
            <w:tcBorders>
              <w:top w:val="nil"/>
              <w:left w:val="nil"/>
              <w:bottom w:val="single" w:color="auto" w:sz="4" w:space="0"/>
              <w:right w:val="single" w:color="auto" w:sz="4" w:space="0"/>
            </w:tcBorders>
            <w:noWrap/>
            <w:vAlign w:val="center"/>
          </w:tcPr>
          <w:p w14:paraId="3E5B37FE">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ABB、西门子、施耐德</w:t>
            </w:r>
          </w:p>
        </w:tc>
      </w:tr>
    </w:tbl>
    <w:p w14:paraId="7D1EDC5A">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6、关于安装部分标识标牌单位与其他单位的施工界面 (各投标人结合自身情况考虑报价)：</w:t>
      </w:r>
    </w:p>
    <w:p w14:paraId="77E606F6">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1</w:t>
      </w:r>
      <w:r>
        <w:rPr>
          <w:rFonts w:hint="eastAsia" w:ascii="宋体" w:hAnsi="宋体"/>
          <w:color w:val="auto"/>
          <w:sz w:val="24"/>
          <w:szCs w:val="24"/>
          <w:lang w:eastAsia="zh-CN"/>
        </w:rPr>
        <w:t>）</w:t>
      </w:r>
      <w:r>
        <w:rPr>
          <w:rFonts w:hint="eastAsia" w:ascii="宋体" w:hAnsi="宋体"/>
          <w:color w:val="auto"/>
          <w:sz w:val="24"/>
          <w:szCs w:val="24"/>
        </w:rPr>
        <w:t>户外</w:t>
      </w:r>
      <w:r>
        <w:rPr>
          <w:rFonts w:hint="eastAsia" w:ascii="宋体" w:hAnsi="宋体"/>
          <w:color w:val="auto"/>
          <w:sz w:val="24"/>
          <w:szCs w:val="24"/>
          <w:lang w:val="en-US" w:eastAsia="zh-CN"/>
        </w:rPr>
        <w:t>发光字</w:t>
      </w:r>
      <w:r>
        <w:rPr>
          <w:rFonts w:hint="eastAsia" w:ascii="宋体" w:hAnsi="宋体"/>
          <w:color w:val="auto"/>
          <w:sz w:val="24"/>
          <w:szCs w:val="24"/>
        </w:rPr>
        <w:t>：LOGO钢架与</w:t>
      </w:r>
      <w:r>
        <w:rPr>
          <w:rFonts w:hint="eastAsia" w:ascii="宋体" w:hAnsi="宋体"/>
          <w:color w:val="auto"/>
          <w:sz w:val="24"/>
          <w:szCs w:val="24"/>
          <w:lang w:val="en-US" w:eastAsia="zh-CN"/>
        </w:rPr>
        <w:t>楼体</w:t>
      </w:r>
      <w:r>
        <w:rPr>
          <w:rFonts w:hint="eastAsia" w:ascii="宋体" w:hAnsi="宋体"/>
          <w:color w:val="auto"/>
          <w:sz w:val="24"/>
          <w:szCs w:val="24"/>
        </w:rPr>
        <w:t>原结构钢架连接，连接方式需符合国家规范要求，不得破坏原幕墙石材、玻璃及屋顶女儿墙</w:t>
      </w:r>
      <w:r>
        <w:rPr>
          <w:rFonts w:hint="eastAsia" w:ascii="宋体" w:hAnsi="宋体"/>
          <w:color w:val="auto"/>
          <w:sz w:val="24"/>
          <w:szCs w:val="24"/>
          <w:lang w:val="en-US" w:eastAsia="zh-CN"/>
        </w:rPr>
        <w:t>等</w:t>
      </w:r>
      <w:r>
        <w:rPr>
          <w:rFonts w:hint="eastAsia" w:ascii="宋体" w:hAnsi="宋体"/>
          <w:color w:val="auto"/>
          <w:sz w:val="24"/>
          <w:szCs w:val="24"/>
        </w:rPr>
        <w:t>。钢架需防腐处理。</w:t>
      </w:r>
    </w:p>
    <w:p w14:paraId="18745686">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2</w:t>
      </w:r>
      <w:r>
        <w:rPr>
          <w:rFonts w:hint="eastAsia" w:ascii="宋体" w:hAnsi="宋体"/>
          <w:color w:val="auto"/>
          <w:sz w:val="24"/>
          <w:szCs w:val="24"/>
          <w:lang w:eastAsia="zh-CN"/>
        </w:rPr>
        <w:t>）</w:t>
      </w:r>
      <w:r>
        <w:rPr>
          <w:rFonts w:hint="eastAsia" w:ascii="宋体" w:hAnsi="宋体"/>
          <w:color w:val="auto"/>
          <w:sz w:val="24"/>
          <w:szCs w:val="24"/>
        </w:rPr>
        <w:t>LOGO及文字标识完成后需整体防水、抗风，安装牢固。</w:t>
      </w:r>
    </w:p>
    <w:p w14:paraId="3B715F58">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3</w:t>
      </w:r>
      <w:r>
        <w:rPr>
          <w:rFonts w:hint="eastAsia" w:ascii="宋体" w:hAnsi="宋体"/>
          <w:color w:val="auto"/>
          <w:sz w:val="24"/>
          <w:szCs w:val="24"/>
          <w:lang w:eastAsia="zh-CN"/>
        </w:rPr>
        <w:t>）</w:t>
      </w:r>
      <w:r>
        <w:rPr>
          <w:rFonts w:hint="eastAsia" w:ascii="宋体" w:hAnsi="宋体"/>
          <w:color w:val="auto"/>
          <w:sz w:val="24"/>
          <w:szCs w:val="24"/>
        </w:rPr>
        <w:t>所有电缆、电线连接不得采用绕线包胶布方式连接，均需采用接线端子可靠连接，接地线需采用接线柱及铜鼻子方式可靠连接，接地电阻不得大于1欧姆。</w:t>
      </w:r>
    </w:p>
    <w:p w14:paraId="2A7F383C">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4</w:t>
      </w:r>
      <w:r>
        <w:rPr>
          <w:rFonts w:hint="eastAsia" w:ascii="宋体" w:hAnsi="宋体"/>
          <w:color w:val="auto"/>
          <w:sz w:val="24"/>
          <w:szCs w:val="24"/>
          <w:lang w:eastAsia="zh-CN"/>
        </w:rPr>
        <w:t>）</w:t>
      </w:r>
      <w:r>
        <w:rPr>
          <w:rFonts w:hint="eastAsia" w:ascii="宋体" w:hAnsi="宋体"/>
          <w:color w:val="auto"/>
          <w:sz w:val="24"/>
          <w:szCs w:val="24"/>
        </w:rPr>
        <w:t>屋顶材料运输</w:t>
      </w:r>
      <w:r>
        <w:rPr>
          <w:rFonts w:hint="eastAsia" w:ascii="宋体" w:hAnsi="宋体"/>
          <w:color w:val="auto"/>
          <w:sz w:val="24"/>
          <w:szCs w:val="24"/>
          <w:lang w:val="en-US" w:eastAsia="zh-CN"/>
        </w:rPr>
        <w:t>可</w:t>
      </w:r>
      <w:r>
        <w:rPr>
          <w:rFonts w:hint="eastAsia" w:ascii="宋体" w:hAnsi="宋体"/>
          <w:color w:val="auto"/>
          <w:sz w:val="24"/>
          <w:szCs w:val="24"/>
        </w:rPr>
        <w:t>采用电梯运输，</w:t>
      </w:r>
      <w:r>
        <w:rPr>
          <w:rFonts w:hint="eastAsia" w:ascii="宋体" w:hAnsi="宋体"/>
          <w:color w:val="auto"/>
          <w:sz w:val="24"/>
          <w:szCs w:val="24"/>
          <w:lang w:val="en-US" w:eastAsia="zh-CN"/>
        </w:rPr>
        <w:t>但必须做好必要防护，不得对电梯造成任何损坏</w:t>
      </w:r>
      <w:r>
        <w:rPr>
          <w:rFonts w:hint="eastAsia" w:ascii="宋体" w:hAnsi="宋体"/>
          <w:color w:val="auto"/>
          <w:sz w:val="24"/>
          <w:szCs w:val="24"/>
        </w:rPr>
        <w:t>。其他方式由投标单位自行考虑。</w:t>
      </w:r>
    </w:p>
    <w:p w14:paraId="19D6EBFA">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7、安装要求</w:t>
      </w:r>
    </w:p>
    <w:p w14:paraId="67728207">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1</w:t>
      </w:r>
      <w:r>
        <w:rPr>
          <w:rFonts w:hint="eastAsia" w:ascii="宋体" w:hAnsi="宋体"/>
          <w:color w:val="auto"/>
          <w:sz w:val="24"/>
          <w:szCs w:val="24"/>
          <w:lang w:eastAsia="zh-CN"/>
        </w:rPr>
        <w:t>）</w:t>
      </w:r>
      <w:r>
        <w:rPr>
          <w:rFonts w:hint="eastAsia" w:ascii="宋体" w:hAnsi="宋体"/>
          <w:color w:val="auto"/>
          <w:sz w:val="24"/>
          <w:szCs w:val="24"/>
        </w:rPr>
        <w:t>要求发光字与安装位置的建筑结构牢固、可靠连接，必要时投标人可增加型钢固定结构，须在投标文件中提供连接结构施工图，并有保证安全可靠连接固定的方案和措施的详细描述。</w:t>
      </w:r>
    </w:p>
    <w:p w14:paraId="740E1E8B">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2</w:t>
      </w:r>
      <w:r>
        <w:rPr>
          <w:rFonts w:hint="eastAsia" w:ascii="宋体" w:hAnsi="宋体"/>
          <w:color w:val="auto"/>
          <w:sz w:val="24"/>
          <w:szCs w:val="24"/>
          <w:lang w:eastAsia="zh-CN"/>
        </w:rPr>
        <w:t>）</w:t>
      </w:r>
      <w:r>
        <w:rPr>
          <w:rFonts w:hint="eastAsia" w:ascii="宋体" w:hAnsi="宋体"/>
          <w:color w:val="auto"/>
          <w:sz w:val="24"/>
          <w:szCs w:val="24"/>
        </w:rPr>
        <w:t>制订详细的现场吊装方案及其安全措施，高空悬挂作业必须符合相关标准和安全要求，高空作业需持有高空作业许可证，电工操作人员需持有特种作业人员操作证（电工），其他特殊工种须经专业培训，持证上岗，必须遵守国家相关规定，发生任何安全事故由中标供应商自行负责。</w:t>
      </w:r>
    </w:p>
    <w:p w14:paraId="3940C0BA">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3</w:t>
      </w:r>
      <w:r>
        <w:rPr>
          <w:rFonts w:hint="eastAsia" w:ascii="宋体" w:hAnsi="宋体"/>
          <w:color w:val="auto"/>
          <w:sz w:val="24"/>
          <w:szCs w:val="24"/>
          <w:lang w:eastAsia="zh-CN"/>
        </w:rPr>
        <w:t>）</w:t>
      </w:r>
      <w:r>
        <w:rPr>
          <w:rFonts w:hint="eastAsia" w:ascii="宋体" w:hAnsi="宋体"/>
          <w:color w:val="auto"/>
          <w:sz w:val="24"/>
          <w:szCs w:val="24"/>
        </w:rPr>
        <w:t>提供本次安装工程的施工组织设计。</w:t>
      </w:r>
    </w:p>
    <w:p w14:paraId="2090BC8D">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4</w:t>
      </w:r>
      <w:r>
        <w:rPr>
          <w:rFonts w:hint="eastAsia" w:ascii="宋体" w:hAnsi="宋体"/>
          <w:color w:val="auto"/>
          <w:sz w:val="24"/>
          <w:szCs w:val="24"/>
          <w:lang w:eastAsia="zh-CN"/>
        </w:rPr>
        <w:t>）</w:t>
      </w:r>
      <w:r>
        <w:rPr>
          <w:rFonts w:hint="eastAsia" w:ascii="宋体" w:hAnsi="宋体"/>
          <w:color w:val="auto"/>
          <w:sz w:val="24"/>
          <w:szCs w:val="24"/>
        </w:rPr>
        <w:t>提供拟派本项目的现场施工负责人（项目经理）和安装队伍其他人员的详细情况。</w:t>
      </w:r>
    </w:p>
    <w:p w14:paraId="5AC8D456">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5</w:t>
      </w:r>
      <w:r>
        <w:rPr>
          <w:rFonts w:hint="eastAsia" w:ascii="宋体" w:hAnsi="宋体"/>
          <w:color w:val="auto"/>
          <w:sz w:val="24"/>
          <w:szCs w:val="24"/>
          <w:lang w:eastAsia="zh-CN"/>
        </w:rPr>
        <w:t>）</w:t>
      </w:r>
      <w:r>
        <w:rPr>
          <w:rFonts w:hint="eastAsia" w:ascii="宋体" w:hAnsi="宋体"/>
          <w:color w:val="auto"/>
          <w:sz w:val="24"/>
          <w:szCs w:val="24"/>
        </w:rPr>
        <w:t>项目实施前，投标人自行安排踏勘现场，取得与现场施工相关的一切资料，并在投标文件的施工组织设计中详细描述确保施工工地周边正常通行、使用所需的具体设施、措施，发生的费用包含在投标报价中。</w:t>
      </w:r>
    </w:p>
    <w:p w14:paraId="5C4E0AD9">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6</w:t>
      </w:r>
      <w:r>
        <w:rPr>
          <w:rFonts w:hint="eastAsia" w:ascii="宋体" w:hAnsi="宋体"/>
          <w:color w:val="auto"/>
          <w:sz w:val="24"/>
          <w:szCs w:val="24"/>
          <w:lang w:eastAsia="zh-CN"/>
        </w:rPr>
        <w:t>）</w:t>
      </w:r>
      <w:r>
        <w:rPr>
          <w:rFonts w:hint="eastAsia" w:ascii="宋体" w:hAnsi="宋体"/>
          <w:color w:val="auto"/>
          <w:sz w:val="24"/>
          <w:szCs w:val="24"/>
        </w:rPr>
        <w:t>施工时做好安全防护工作，中标人在项目实施过程中的安全责任由中标人负全责，招标人不承担任何安全责任，也不承担如发生安全事故产生的任何费用。</w:t>
      </w:r>
    </w:p>
    <w:p w14:paraId="59E69C26">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7</w:t>
      </w:r>
      <w:r>
        <w:rPr>
          <w:rFonts w:hint="eastAsia" w:ascii="宋体" w:hAnsi="宋体"/>
          <w:color w:val="auto"/>
          <w:sz w:val="24"/>
          <w:szCs w:val="24"/>
          <w:lang w:eastAsia="zh-CN"/>
        </w:rPr>
        <w:t>）</w:t>
      </w:r>
      <w:r>
        <w:rPr>
          <w:rFonts w:hint="eastAsia" w:ascii="宋体" w:hAnsi="宋体"/>
          <w:color w:val="auto"/>
          <w:sz w:val="24"/>
          <w:szCs w:val="24"/>
        </w:rPr>
        <w:t>采购人只提供电源点位，投标人自行考虑后端电路布置，投标人的安装方式及运输方式需采购人同意，安装时如对</w:t>
      </w:r>
      <w:r>
        <w:rPr>
          <w:rFonts w:hint="eastAsia" w:ascii="宋体" w:hAnsi="宋体"/>
          <w:color w:val="auto"/>
          <w:sz w:val="24"/>
          <w:szCs w:val="24"/>
          <w:lang w:val="en-US" w:eastAsia="zh-CN"/>
        </w:rPr>
        <w:t>大楼</w:t>
      </w:r>
      <w:r>
        <w:rPr>
          <w:rFonts w:hint="eastAsia" w:ascii="宋体" w:hAnsi="宋体"/>
          <w:color w:val="auto"/>
          <w:sz w:val="24"/>
          <w:szCs w:val="24"/>
        </w:rPr>
        <w:t>及设备造成损坏由投标人负责，杜绝违章操作和野蛮施工，如对</w:t>
      </w:r>
      <w:r>
        <w:rPr>
          <w:rFonts w:hint="eastAsia" w:ascii="宋体" w:hAnsi="宋体"/>
          <w:color w:val="auto"/>
          <w:sz w:val="24"/>
          <w:szCs w:val="24"/>
          <w:lang w:val="en-US" w:eastAsia="zh-CN"/>
        </w:rPr>
        <w:t>建筑</w:t>
      </w:r>
      <w:r>
        <w:rPr>
          <w:rFonts w:hint="eastAsia" w:ascii="宋体" w:hAnsi="宋体"/>
          <w:color w:val="auto"/>
          <w:sz w:val="24"/>
          <w:szCs w:val="24"/>
        </w:rPr>
        <w:t>楼体外墙有打孔、损坏等由投标人全权负责进行恢复及做好防水，如有渗水漏雨现象，投标人承担所有责任。</w:t>
      </w:r>
    </w:p>
    <w:p w14:paraId="6D7D9E9B">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8</w:t>
      </w:r>
      <w:r>
        <w:rPr>
          <w:rFonts w:hint="eastAsia" w:ascii="宋体" w:hAnsi="宋体"/>
          <w:color w:val="auto"/>
          <w:sz w:val="24"/>
          <w:szCs w:val="24"/>
          <w:lang w:eastAsia="zh-CN"/>
        </w:rPr>
        <w:t>）</w:t>
      </w:r>
      <w:r>
        <w:rPr>
          <w:rFonts w:hint="eastAsia" w:ascii="宋体" w:hAnsi="宋体"/>
          <w:color w:val="auto"/>
          <w:sz w:val="24"/>
          <w:szCs w:val="24"/>
        </w:rPr>
        <w:t>投标人产生的建渣要求及时清理，不可乱弃乱放，对</w:t>
      </w:r>
      <w:r>
        <w:rPr>
          <w:rFonts w:hint="eastAsia" w:ascii="宋体" w:hAnsi="宋体"/>
          <w:color w:val="auto"/>
          <w:sz w:val="24"/>
          <w:szCs w:val="24"/>
          <w:lang w:val="en-US" w:eastAsia="zh-CN"/>
        </w:rPr>
        <w:t>办公楼</w:t>
      </w:r>
      <w:r>
        <w:rPr>
          <w:rFonts w:hint="eastAsia" w:ascii="宋体" w:hAnsi="宋体"/>
          <w:color w:val="auto"/>
          <w:sz w:val="24"/>
          <w:szCs w:val="24"/>
        </w:rPr>
        <w:t>环境进行必要的维护，施工时对主要位置应设立醒目的标识标牌。</w:t>
      </w:r>
    </w:p>
    <w:p w14:paraId="3DEFD7E7">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样品</w:t>
      </w:r>
    </w:p>
    <w:p w14:paraId="0288C97D">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1</w:t>
      </w:r>
      <w:r>
        <w:rPr>
          <w:rFonts w:hint="eastAsia" w:ascii="宋体" w:hAnsi="宋体"/>
          <w:color w:val="auto"/>
          <w:sz w:val="24"/>
          <w:szCs w:val="24"/>
          <w:lang w:eastAsia="zh-CN"/>
        </w:rPr>
        <w:t>）</w:t>
      </w:r>
      <w:r>
        <w:rPr>
          <w:rFonts w:hint="eastAsia" w:ascii="宋体" w:hAnsi="宋体"/>
          <w:color w:val="auto"/>
          <w:sz w:val="24"/>
          <w:szCs w:val="24"/>
        </w:rPr>
        <w:t>样品是评标的主要内容之一，是否提交样品不做强制性要求，投标人应依据其企业的实力和招标货物的要求提供的样品包括：外墙发光字小样（含logo及字体，要求现场通电测试，样品尺寸大小不作要求）供招标人及评标委员会比较、评审。</w:t>
      </w:r>
    </w:p>
    <w:p w14:paraId="325971AA">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lang w:eastAsia="zh-CN"/>
        </w:rPr>
        <w:t>（</w:t>
      </w:r>
      <w:r>
        <w:rPr>
          <w:rFonts w:hint="eastAsia" w:ascii="宋体" w:hAnsi="宋体"/>
          <w:color w:val="auto"/>
          <w:sz w:val="24"/>
          <w:szCs w:val="24"/>
          <w:lang w:val="en-US" w:eastAsia="zh-CN"/>
        </w:rPr>
        <w:t>2</w:t>
      </w:r>
      <w:r>
        <w:rPr>
          <w:rFonts w:hint="eastAsia" w:ascii="宋体" w:hAnsi="宋体"/>
          <w:color w:val="auto"/>
          <w:sz w:val="24"/>
          <w:szCs w:val="24"/>
          <w:lang w:eastAsia="zh-CN"/>
        </w:rPr>
        <w:t>）</w:t>
      </w:r>
      <w:r>
        <w:rPr>
          <w:rFonts w:hint="eastAsia" w:ascii="宋体" w:hAnsi="宋体"/>
          <w:color w:val="auto"/>
          <w:sz w:val="24"/>
          <w:szCs w:val="24"/>
        </w:rPr>
        <w:t>如投标人提交样品，则按以下要求递交：</w:t>
      </w:r>
    </w:p>
    <w:p w14:paraId="6B75297F">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递交样品时间：与投标文件递交时间一致。递交样品地点：与投标文件递交地点一致。</w:t>
      </w:r>
    </w:p>
    <w:p w14:paraId="77C4BFB5">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零散的样品应牢固固定或装盒装袋，并做明显的投标人单位标记。</w:t>
      </w:r>
    </w:p>
    <w:p w14:paraId="363706AB">
      <w:pPr>
        <w:pStyle w:val="8"/>
        <w:spacing w:after="0" w:line="360" w:lineRule="auto"/>
        <w:ind w:firstLine="480" w:firstLineChars="200"/>
        <w:rPr>
          <w:rFonts w:hint="eastAsia" w:ascii="宋体" w:hAnsi="宋体"/>
          <w:color w:val="auto"/>
          <w:sz w:val="24"/>
          <w:szCs w:val="24"/>
        </w:rPr>
      </w:pPr>
      <w:r>
        <w:rPr>
          <w:rFonts w:hint="eastAsia" w:ascii="宋体" w:hAnsi="宋体"/>
          <w:color w:val="auto"/>
          <w:sz w:val="24"/>
          <w:szCs w:val="24"/>
        </w:rPr>
        <w:t>评标结束后，未中标的样品按招标人通知时间取回，否则不负保管责任。中标人投标样品不退还，由招标人封存，作为货物生产依据，最终货物的材质与工艺质量低于投标时提供样品质量的，招标人有权按不合格产品退货。</w:t>
      </w:r>
    </w:p>
    <w:p w14:paraId="6C21B04A">
      <w:pPr>
        <w:pStyle w:val="8"/>
        <w:spacing w:after="0" w:line="360" w:lineRule="auto"/>
        <w:ind w:firstLine="480" w:firstLineChars="200"/>
        <w:rPr>
          <w:rFonts w:hint="eastAsia" w:ascii="宋体" w:hAnsi="宋体"/>
          <w:color w:val="auto"/>
          <w:sz w:val="24"/>
          <w:szCs w:val="24"/>
        </w:rPr>
      </w:pPr>
    </w:p>
    <w:p w14:paraId="1B90BD38">
      <w:pPr>
        <w:ind w:firstLine="2891" w:firstLineChars="900"/>
        <w:rPr>
          <w:rFonts w:hint="eastAsia" w:ascii="宋体" w:hAnsi="宋体" w:cs="仿宋_GB2312"/>
          <w:b/>
          <w:color w:val="auto"/>
          <w:sz w:val="32"/>
          <w:szCs w:val="32"/>
        </w:rPr>
      </w:pPr>
      <w:r>
        <w:rPr>
          <w:rFonts w:hint="eastAsia" w:ascii="宋体" w:hAnsi="宋体" w:cs="仿宋_GB2312"/>
          <w:b/>
          <w:color w:val="auto"/>
          <w:sz w:val="32"/>
          <w:szCs w:val="32"/>
        </w:rPr>
        <w:t>第四部分 谈判文件格式</w:t>
      </w:r>
    </w:p>
    <w:p w14:paraId="7074FC50">
      <w:pPr>
        <w:pStyle w:val="17"/>
        <w:widowControl w:val="0"/>
        <w:adjustRightInd w:val="0"/>
        <w:snapToGrid w:val="0"/>
        <w:spacing w:before="0" w:beforeAutospacing="0" w:after="0" w:afterAutospacing="0" w:line="360" w:lineRule="auto"/>
        <w:rPr>
          <w:rFonts w:cs="仿宋_GB2312"/>
          <w:b/>
          <w:color w:val="auto"/>
          <w:sz w:val="24"/>
          <w:szCs w:val="24"/>
        </w:rPr>
      </w:pPr>
      <w:r>
        <w:rPr>
          <w:rFonts w:cs="仿宋_GB2312"/>
          <w:b/>
          <w:color w:val="auto"/>
          <w:sz w:val="24"/>
          <w:szCs w:val="24"/>
        </w:rPr>
        <w:t xml:space="preserve">一、 </w:t>
      </w:r>
      <w:r>
        <w:rPr>
          <w:rFonts w:hint="eastAsia" w:cs="仿宋_GB2312"/>
          <w:b/>
          <w:color w:val="auto"/>
          <w:sz w:val="24"/>
          <w:szCs w:val="24"/>
        </w:rPr>
        <w:t>谈判</w:t>
      </w:r>
      <w:r>
        <w:rPr>
          <w:rFonts w:cs="仿宋_GB2312"/>
          <w:b/>
          <w:color w:val="auto"/>
          <w:sz w:val="24"/>
          <w:szCs w:val="24"/>
        </w:rPr>
        <w:t>书封面格式 </w:t>
      </w:r>
    </w:p>
    <w:tbl>
      <w:tblPr>
        <w:tblStyle w:val="19"/>
        <w:tblW w:w="9421"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9421"/>
      </w:tblGrid>
      <w:tr w14:paraId="5DCE20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0772" w:hRule="atLeast"/>
          <w:tblCellSpacing w:w="0" w:type="dxa"/>
          <w:jc w:val="center"/>
        </w:trPr>
        <w:tc>
          <w:tcPr>
            <w:tcW w:w="9421" w:type="dxa"/>
            <w:tcBorders>
              <w:top w:val="outset" w:color="auto" w:sz="6" w:space="0"/>
              <w:left w:val="outset" w:color="auto" w:sz="6" w:space="0"/>
              <w:bottom w:val="outset" w:color="auto" w:sz="6" w:space="0"/>
              <w:right w:val="outset" w:color="auto" w:sz="6" w:space="0"/>
            </w:tcBorders>
            <w:noWrap w:val="0"/>
            <w:vAlign w:val="center"/>
          </w:tcPr>
          <w:p w14:paraId="7CCCD4F9">
            <w:pPr>
              <w:pStyle w:val="17"/>
              <w:widowControl w:val="0"/>
              <w:adjustRightInd w:val="0"/>
              <w:snapToGrid w:val="0"/>
              <w:spacing w:before="0" w:beforeAutospacing="0" w:after="0" w:afterAutospacing="0" w:line="360" w:lineRule="auto"/>
              <w:jc w:val="center"/>
              <w:rPr>
                <w:b/>
                <w:color w:val="auto"/>
                <w:sz w:val="28"/>
                <w:szCs w:val="28"/>
              </w:rPr>
            </w:pPr>
          </w:p>
          <w:p w14:paraId="648D56DC">
            <w:pPr>
              <w:pStyle w:val="17"/>
              <w:widowControl w:val="0"/>
              <w:adjustRightInd w:val="0"/>
              <w:snapToGrid w:val="0"/>
              <w:spacing w:before="0" w:beforeAutospacing="0" w:after="0" w:afterAutospacing="0" w:line="360" w:lineRule="auto"/>
              <w:jc w:val="center"/>
              <w:rPr>
                <w:b/>
                <w:color w:val="auto"/>
                <w:sz w:val="28"/>
                <w:szCs w:val="28"/>
              </w:rPr>
            </w:pPr>
          </w:p>
          <w:p w14:paraId="0BBCC7C5">
            <w:pPr>
              <w:pStyle w:val="17"/>
              <w:widowControl w:val="0"/>
              <w:adjustRightInd w:val="0"/>
              <w:snapToGrid w:val="0"/>
              <w:spacing w:before="0" w:beforeAutospacing="0" w:after="0" w:afterAutospacing="0" w:line="360" w:lineRule="auto"/>
              <w:jc w:val="center"/>
              <w:rPr>
                <w:b/>
                <w:color w:val="auto"/>
                <w:sz w:val="28"/>
                <w:szCs w:val="28"/>
              </w:rPr>
            </w:pPr>
          </w:p>
          <w:p w14:paraId="1375CFE5">
            <w:pPr>
              <w:pStyle w:val="17"/>
              <w:widowControl w:val="0"/>
              <w:adjustRightInd w:val="0"/>
              <w:snapToGrid w:val="0"/>
              <w:spacing w:before="0" w:beforeAutospacing="0" w:after="0" w:afterAutospacing="0" w:line="360" w:lineRule="auto"/>
              <w:jc w:val="center"/>
              <w:rPr>
                <w:b/>
                <w:color w:val="auto"/>
                <w:sz w:val="28"/>
                <w:szCs w:val="28"/>
              </w:rPr>
            </w:pPr>
          </w:p>
          <w:p w14:paraId="0CDE1146">
            <w:pPr>
              <w:pStyle w:val="17"/>
              <w:widowControl w:val="0"/>
              <w:adjustRightInd w:val="0"/>
              <w:snapToGrid w:val="0"/>
              <w:spacing w:before="0" w:beforeAutospacing="0" w:after="0" w:afterAutospacing="0" w:line="360" w:lineRule="auto"/>
              <w:jc w:val="center"/>
              <w:rPr>
                <w:rFonts w:hint="eastAsia"/>
                <w:bCs/>
                <w:color w:val="auto"/>
                <w:sz w:val="72"/>
                <w:szCs w:val="72"/>
              </w:rPr>
            </w:pPr>
            <w:r>
              <w:rPr>
                <w:b/>
                <w:color w:val="auto"/>
                <w:sz w:val="72"/>
                <w:szCs w:val="72"/>
              </w:rPr>
              <w:t> </w:t>
            </w:r>
            <w:r>
              <w:rPr>
                <w:bCs/>
                <w:color w:val="auto"/>
                <w:sz w:val="72"/>
                <w:szCs w:val="72"/>
              </w:rPr>
              <w:t>投</w:t>
            </w:r>
            <w:r>
              <w:rPr>
                <w:rFonts w:hint="eastAsia"/>
                <w:bCs/>
                <w:color w:val="auto"/>
                <w:sz w:val="72"/>
                <w:szCs w:val="72"/>
              </w:rPr>
              <w:t xml:space="preserve"> </w:t>
            </w:r>
            <w:r>
              <w:rPr>
                <w:bCs/>
                <w:color w:val="auto"/>
                <w:sz w:val="72"/>
                <w:szCs w:val="72"/>
              </w:rPr>
              <w:t xml:space="preserve"> 标 </w:t>
            </w:r>
            <w:r>
              <w:rPr>
                <w:rFonts w:hint="eastAsia"/>
                <w:bCs/>
                <w:color w:val="auto"/>
                <w:sz w:val="72"/>
                <w:szCs w:val="72"/>
              </w:rPr>
              <w:t xml:space="preserve"> </w:t>
            </w:r>
            <w:r>
              <w:rPr>
                <w:bCs/>
                <w:color w:val="auto"/>
                <w:sz w:val="72"/>
                <w:szCs w:val="72"/>
              </w:rPr>
              <w:t>书</w:t>
            </w:r>
          </w:p>
          <w:p w14:paraId="5D6AB25B">
            <w:pPr>
              <w:pStyle w:val="17"/>
              <w:widowControl w:val="0"/>
              <w:adjustRightInd w:val="0"/>
              <w:snapToGrid w:val="0"/>
              <w:spacing w:before="0" w:beforeAutospacing="0" w:after="0" w:afterAutospacing="0" w:line="360" w:lineRule="auto"/>
              <w:jc w:val="center"/>
              <w:rPr>
                <w:b/>
                <w:color w:val="auto"/>
                <w:sz w:val="28"/>
                <w:szCs w:val="28"/>
              </w:rPr>
            </w:pPr>
          </w:p>
          <w:p w14:paraId="05ACAD3E">
            <w:pPr>
              <w:pStyle w:val="17"/>
              <w:widowControl w:val="0"/>
              <w:adjustRightInd w:val="0"/>
              <w:snapToGrid w:val="0"/>
              <w:spacing w:before="0" w:beforeAutospacing="0" w:after="0" w:afterAutospacing="0" w:line="360" w:lineRule="auto"/>
              <w:jc w:val="center"/>
              <w:rPr>
                <w:rFonts w:hint="eastAsia"/>
                <w:color w:val="auto"/>
                <w:sz w:val="36"/>
                <w:szCs w:val="36"/>
              </w:rPr>
            </w:pPr>
            <w:r>
              <w:rPr>
                <w:rFonts w:hint="eastAsia"/>
                <w:color w:val="auto"/>
                <w:sz w:val="36"/>
                <w:szCs w:val="36"/>
                <w:lang w:val="en-US" w:eastAsia="zh-CN"/>
              </w:rPr>
              <w:t xml:space="preserve">    </w:t>
            </w:r>
            <w:r>
              <w:rPr>
                <w:rFonts w:hint="eastAsia"/>
                <w:color w:val="auto"/>
                <w:sz w:val="36"/>
                <w:szCs w:val="36"/>
              </w:rPr>
              <w:t>（正本）或（副本）</w:t>
            </w:r>
          </w:p>
          <w:p w14:paraId="3A353B2B">
            <w:pPr>
              <w:pStyle w:val="17"/>
              <w:widowControl w:val="0"/>
              <w:adjustRightInd w:val="0"/>
              <w:snapToGrid w:val="0"/>
              <w:spacing w:before="0" w:beforeAutospacing="0" w:after="0" w:afterAutospacing="0" w:line="360" w:lineRule="auto"/>
              <w:rPr>
                <w:rFonts w:hint="eastAsia"/>
                <w:color w:val="auto"/>
                <w:sz w:val="24"/>
                <w:szCs w:val="24"/>
              </w:rPr>
            </w:pPr>
          </w:p>
          <w:p w14:paraId="30571DD5">
            <w:pPr>
              <w:pStyle w:val="17"/>
              <w:widowControl w:val="0"/>
              <w:adjustRightInd w:val="0"/>
              <w:snapToGrid w:val="0"/>
              <w:spacing w:before="0" w:beforeAutospacing="0" w:after="0" w:afterAutospacing="0" w:line="360" w:lineRule="auto"/>
              <w:rPr>
                <w:rFonts w:hint="eastAsia"/>
                <w:color w:val="auto"/>
                <w:sz w:val="24"/>
                <w:szCs w:val="24"/>
              </w:rPr>
            </w:pPr>
          </w:p>
          <w:p w14:paraId="49D4152B">
            <w:pPr>
              <w:pStyle w:val="17"/>
              <w:widowControl w:val="0"/>
              <w:adjustRightInd w:val="0"/>
              <w:snapToGrid w:val="0"/>
              <w:spacing w:before="0" w:beforeAutospacing="0" w:after="0" w:afterAutospacing="0" w:line="360" w:lineRule="auto"/>
              <w:rPr>
                <w:rFonts w:hint="eastAsia"/>
                <w:color w:val="auto"/>
                <w:sz w:val="24"/>
                <w:szCs w:val="24"/>
              </w:rPr>
            </w:pPr>
          </w:p>
          <w:p w14:paraId="3B644F21">
            <w:pPr>
              <w:pStyle w:val="17"/>
              <w:widowControl w:val="0"/>
              <w:adjustRightInd w:val="0"/>
              <w:snapToGrid w:val="0"/>
              <w:spacing w:before="0" w:beforeAutospacing="0" w:after="0" w:afterAutospacing="0" w:line="360" w:lineRule="auto"/>
              <w:rPr>
                <w:rFonts w:hint="eastAsia"/>
                <w:color w:val="auto"/>
                <w:sz w:val="24"/>
                <w:szCs w:val="24"/>
              </w:rPr>
            </w:pPr>
          </w:p>
          <w:p w14:paraId="3E102323">
            <w:pPr>
              <w:pStyle w:val="17"/>
              <w:widowControl w:val="0"/>
              <w:adjustRightInd w:val="0"/>
              <w:snapToGrid w:val="0"/>
              <w:spacing w:before="0" w:beforeAutospacing="0" w:after="0" w:afterAutospacing="0" w:line="360" w:lineRule="auto"/>
              <w:rPr>
                <w:rFonts w:hint="eastAsia"/>
                <w:color w:val="auto"/>
                <w:sz w:val="24"/>
                <w:szCs w:val="24"/>
              </w:rPr>
            </w:pPr>
          </w:p>
          <w:p w14:paraId="4EB70659">
            <w:pPr>
              <w:pStyle w:val="17"/>
              <w:widowControl w:val="0"/>
              <w:adjustRightInd w:val="0"/>
              <w:snapToGrid w:val="0"/>
              <w:spacing w:before="0" w:beforeAutospacing="0" w:after="0" w:afterAutospacing="0" w:line="360" w:lineRule="auto"/>
              <w:rPr>
                <w:rFonts w:hint="eastAsia"/>
                <w:color w:val="auto"/>
                <w:sz w:val="24"/>
                <w:szCs w:val="24"/>
              </w:rPr>
            </w:pPr>
          </w:p>
          <w:p w14:paraId="68FE8B80">
            <w:pPr>
              <w:pStyle w:val="17"/>
              <w:widowControl w:val="0"/>
              <w:adjustRightInd w:val="0"/>
              <w:snapToGrid w:val="0"/>
              <w:spacing w:before="0" w:beforeAutospacing="0" w:after="0" w:afterAutospacing="0" w:line="360" w:lineRule="auto"/>
              <w:rPr>
                <w:rFonts w:hint="eastAsia"/>
                <w:color w:val="auto"/>
                <w:sz w:val="24"/>
                <w:szCs w:val="24"/>
              </w:rPr>
            </w:pPr>
          </w:p>
          <w:p w14:paraId="4201935B">
            <w:pPr>
              <w:pStyle w:val="17"/>
              <w:widowControl w:val="0"/>
              <w:adjustRightInd w:val="0"/>
              <w:snapToGrid w:val="0"/>
              <w:spacing w:before="0" w:beforeAutospacing="0" w:after="0" w:afterAutospacing="0" w:line="360" w:lineRule="auto"/>
              <w:ind w:firstLine="2400" w:firstLineChars="1000"/>
              <w:rPr>
                <w:rFonts w:hint="eastAsia"/>
                <w:bCs/>
                <w:color w:val="auto"/>
                <w:sz w:val="24"/>
                <w:szCs w:val="24"/>
                <w:u w:val="single"/>
              </w:rPr>
            </w:pPr>
            <w:r>
              <w:rPr>
                <w:rFonts w:hint="eastAsia"/>
                <w:bCs/>
                <w:color w:val="auto"/>
                <w:sz w:val="24"/>
                <w:szCs w:val="24"/>
              </w:rPr>
              <w:t>项目名称：</w:t>
            </w:r>
            <w:r>
              <w:rPr>
                <w:rFonts w:hint="eastAsia"/>
                <w:bCs/>
                <w:color w:val="auto"/>
                <w:sz w:val="24"/>
                <w:szCs w:val="24"/>
                <w:u w:val="single"/>
              </w:rPr>
              <w:t xml:space="preserve">                              </w:t>
            </w:r>
          </w:p>
          <w:p w14:paraId="79813222">
            <w:pPr>
              <w:pStyle w:val="17"/>
              <w:widowControl w:val="0"/>
              <w:adjustRightInd w:val="0"/>
              <w:snapToGrid w:val="0"/>
              <w:spacing w:before="0" w:beforeAutospacing="0" w:after="0" w:afterAutospacing="0" w:line="360" w:lineRule="auto"/>
              <w:ind w:firstLine="2400" w:firstLineChars="1000"/>
              <w:rPr>
                <w:rFonts w:hint="eastAsia"/>
                <w:bCs/>
                <w:color w:val="auto"/>
                <w:sz w:val="24"/>
                <w:szCs w:val="24"/>
                <w:u w:val="single"/>
              </w:rPr>
            </w:pPr>
            <w:r>
              <w:rPr>
                <w:rFonts w:hint="eastAsia"/>
                <w:bCs/>
                <w:color w:val="auto"/>
                <w:sz w:val="24"/>
                <w:szCs w:val="24"/>
              </w:rPr>
              <w:t>投标人授权代表（签字）：</w:t>
            </w:r>
            <w:r>
              <w:rPr>
                <w:rFonts w:hint="eastAsia"/>
                <w:bCs/>
                <w:color w:val="auto"/>
                <w:sz w:val="24"/>
                <w:szCs w:val="24"/>
                <w:u w:val="single"/>
              </w:rPr>
              <w:t xml:space="preserve">                </w:t>
            </w:r>
          </w:p>
          <w:p w14:paraId="355EA038">
            <w:pPr>
              <w:pStyle w:val="17"/>
              <w:widowControl w:val="0"/>
              <w:adjustRightInd w:val="0"/>
              <w:snapToGrid w:val="0"/>
              <w:spacing w:before="0" w:beforeAutospacing="0" w:after="0" w:afterAutospacing="0" w:line="360" w:lineRule="auto"/>
              <w:ind w:firstLine="2400" w:firstLineChars="1000"/>
              <w:rPr>
                <w:rFonts w:hint="eastAsia"/>
                <w:bCs/>
                <w:color w:val="auto"/>
                <w:sz w:val="24"/>
                <w:szCs w:val="24"/>
                <w:u w:val="single"/>
              </w:rPr>
            </w:pPr>
            <w:r>
              <w:rPr>
                <w:rFonts w:hint="eastAsia"/>
                <w:bCs/>
                <w:color w:val="auto"/>
                <w:sz w:val="24"/>
                <w:szCs w:val="24"/>
              </w:rPr>
              <w:t>投标人（盖章）：</w:t>
            </w:r>
            <w:r>
              <w:rPr>
                <w:rFonts w:hint="eastAsia"/>
                <w:bCs/>
                <w:color w:val="auto"/>
                <w:sz w:val="24"/>
                <w:szCs w:val="24"/>
                <w:u w:val="single"/>
              </w:rPr>
              <w:t xml:space="preserve">                        </w:t>
            </w:r>
          </w:p>
          <w:p w14:paraId="06A455F4">
            <w:pPr>
              <w:pStyle w:val="17"/>
              <w:widowControl w:val="0"/>
              <w:adjustRightInd w:val="0"/>
              <w:snapToGrid w:val="0"/>
              <w:spacing w:before="0" w:beforeAutospacing="0" w:after="0" w:afterAutospacing="0" w:line="360" w:lineRule="auto"/>
              <w:ind w:left="2035" w:leftChars="969"/>
              <w:rPr>
                <w:rFonts w:hint="eastAsia"/>
                <w:bCs/>
                <w:color w:val="auto"/>
                <w:sz w:val="24"/>
                <w:szCs w:val="24"/>
                <w:u w:val="single"/>
              </w:rPr>
            </w:pPr>
          </w:p>
          <w:p w14:paraId="0D62B776">
            <w:pPr>
              <w:pStyle w:val="17"/>
              <w:widowControl w:val="0"/>
              <w:adjustRightInd w:val="0"/>
              <w:snapToGrid w:val="0"/>
              <w:spacing w:before="0" w:beforeAutospacing="0" w:after="0" w:afterAutospacing="0" w:line="360" w:lineRule="auto"/>
              <w:ind w:firstLine="6960" w:firstLineChars="2900"/>
              <w:rPr>
                <w:rFonts w:hint="eastAsia"/>
                <w:bCs/>
                <w:color w:val="auto"/>
                <w:sz w:val="24"/>
                <w:szCs w:val="24"/>
              </w:rPr>
            </w:pPr>
            <w:r>
              <w:rPr>
                <w:rFonts w:hint="eastAsia"/>
                <w:bCs/>
                <w:color w:val="auto"/>
                <w:sz w:val="24"/>
                <w:szCs w:val="24"/>
              </w:rPr>
              <w:t>年 　 月　  日</w:t>
            </w:r>
          </w:p>
          <w:p w14:paraId="04FDBAFB">
            <w:pPr>
              <w:pStyle w:val="17"/>
              <w:widowControl w:val="0"/>
              <w:adjustRightInd w:val="0"/>
              <w:snapToGrid w:val="0"/>
              <w:spacing w:before="0" w:beforeAutospacing="0" w:after="0" w:afterAutospacing="0" w:line="360" w:lineRule="auto"/>
              <w:ind w:firstLine="6960" w:firstLineChars="2900"/>
              <w:rPr>
                <w:rFonts w:hint="eastAsia"/>
                <w:bCs/>
                <w:color w:val="auto"/>
                <w:sz w:val="24"/>
                <w:szCs w:val="24"/>
              </w:rPr>
            </w:pPr>
          </w:p>
        </w:tc>
      </w:tr>
    </w:tbl>
    <w:p w14:paraId="52A96D97">
      <w:pPr>
        <w:pStyle w:val="17"/>
        <w:widowControl w:val="0"/>
        <w:adjustRightInd w:val="0"/>
        <w:snapToGrid w:val="0"/>
        <w:spacing w:before="0" w:beforeAutospacing="0" w:after="0" w:afterAutospacing="0" w:line="360" w:lineRule="auto"/>
        <w:rPr>
          <w:rFonts w:cs="仿宋_GB2312"/>
          <w:b/>
          <w:bCs/>
          <w:color w:val="auto"/>
          <w:sz w:val="24"/>
          <w:szCs w:val="24"/>
        </w:rPr>
      </w:pPr>
    </w:p>
    <w:p w14:paraId="38467C41">
      <w:pPr>
        <w:pStyle w:val="17"/>
        <w:widowControl w:val="0"/>
        <w:adjustRightInd w:val="0"/>
        <w:snapToGrid w:val="0"/>
        <w:spacing w:before="0" w:beforeAutospacing="0" w:after="0" w:afterAutospacing="0" w:line="360" w:lineRule="auto"/>
        <w:rPr>
          <w:rFonts w:cs="仿宋_GB2312"/>
          <w:b/>
          <w:bCs/>
          <w:color w:val="auto"/>
          <w:sz w:val="24"/>
          <w:szCs w:val="24"/>
        </w:rPr>
      </w:pPr>
    </w:p>
    <w:p w14:paraId="61C779D0">
      <w:pPr>
        <w:pStyle w:val="17"/>
        <w:widowControl w:val="0"/>
        <w:adjustRightInd w:val="0"/>
        <w:snapToGrid w:val="0"/>
        <w:spacing w:before="0" w:beforeAutospacing="0" w:after="0" w:afterAutospacing="0" w:line="360" w:lineRule="auto"/>
        <w:rPr>
          <w:rFonts w:hint="eastAsia" w:cs="仿宋_GB2312"/>
          <w:b/>
          <w:color w:val="auto"/>
          <w:sz w:val="24"/>
          <w:szCs w:val="24"/>
        </w:rPr>
      </w:pPr>
      <w:r>
        <w:rPr>
          <w:rFonts w:hint="eastAsia" w:cs="仿宋_GB2312"/>
          <w:b/>
          <w:bCs/>
          <w:color w:val="auto"/>
          <w:sz w:val="24"/>
          <w:szCs w:val="24"/>
        </w:rPr>
        <w:t>二、 谈判函格式</w:t>
      </w:r>
    </w:p>
    <w:p w14:paraId="5ACE1DE7">
      <w:pPr>
        <w:pStyle w:val="17"/>
        <w:widowControl w:val="0"/>
        <w:adjustRightInd w:val="0"/>
        <w:snapToGrid w:val="0"/>
        <w:spacing w:before="0" w:beforeAutospacing="0" w:after="0" w:afterAutospacing="0" w:line="360" w:lineRule="auto"/>
        <w:rPr>
          <w:rFonts w:hint="eastAsia" w:cs="仿宋_GB2312"/>
          <w:color w:val="auto"/>
          <w:sz w:val="24"/>
          <w:szCs w:val="24"/>
        </w:rPr>
      </w:pPr>
      <w:r>
        <w:rPr>
          <w:rFonts w:hint="eastAsia" w:cs="仿宋_GB2312"/>
          <w:color w:val="auto"/>
          <w:sz w:val="24"/>
          <w:szCs w:val="24"/>
        </w:rPr>
        <w:t>致:</w:t>
      </w:r>
      <w:r>
        <w:rPr>
          <w:rFonts w:cs="仿宋_GB2312"/>
          <w:color w:val="auto"/>
          <w:sz w:val="24"/>
          <w:szCs w:val="24"/>
        </w:rPr>
        <w:t>山西煤机装备制造有限责任公司</w:t>
      </w:r>
    </w:p>
    <w:p w14:paraId="04FA64C9">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根据贵公司</w:t>
      </w:r>
      <w:r>
        <w:rPr>
          <w:rFonts w:hint="eastAsia" w:cs="仿宋_GB2312"/>
          <w:color w:val="auto"/>
          <w:sz w:val="24"/>
          <w:szCs w:val="24"/>
          <w:lang w:val="en-US" w:eastAsia="zh-CN"/>
        </w:rPr>
        <w:t xml:space="preserve">_________ </w:t>
      </w:r>
      <w:r>
        <w:rPr>
          <w:rFonts w:hint="eastAsia" w:cs="仿宋_GB2312"/>
          <w:color w:val="auto"/>
          <w:sz w:val="24"/>
          <w:szCs w:val="24"/>
        </w:rPr>
        <w:t>号采购文件,我公司正式授权下述签字人</w:t>
      </w:r>
      <w:r>
        <w:rPr>
          <w:rFonts w:hint="eastAsia" w:cs="仿宋_GB2312"/>
          <w:color w:val="auto"/>
          <w:sz w:val="24"/>
          <w:szCs w:val="24"/>
          <w:u w:val="single"/>
        </w:rPr>
        <w:t xml:space="preserve">            </w:t>
      </w:r>
      <w:r>
        <w:rPr>
          <w:rFonts w:hint="eastAsia" w:cs="仿宋_GB2312"/>
          <w:color w:val="auto"/>
          <w:sz w:val="24"/>
          <w:szCs w:val="24"/>
        </w:rPr>
        <w:t>(姓名和职务)代表投标人</w:t>
      </w:r>
      <w:r>
        <w:rPr>
          <w:rFonts w:hint="eastAsia" w:cs="仿宋_GB2312"/>
          <w:color w:val="auto"/>
          <w:sz w:val="24"/>
          <w:szCs w:val="24"/>
          <w:u w:val="single"/>
        </w:rPr>
        <w:t xml:space="preserve">              </w:t>
      </w:r>
      <w:r>
        <w:rPr>
          <w:rFonts w:hint="eastAsia" w:cs="仿宋_GB2312"/>
          <w:color w:val="auto"/>
          <w:sz w:val="24"/>
          <w:szCs w:val="24"/>
        </w:rPr>
        <w:t>(投标人名称),提交下列文件正本一份,副本</w:t>
      </w:r>
      <w:r>
        <w:rPr>
          <w:rFonts w:hint="eastAsia" w:cs="仿宋_GB2312"/>
          <w:color w:val="auto"/>
          <w:sz w:val="24"/>
          <w:szCs w:val="24"/>
          <w:lang w:val="en-US" w:eastAsia="zh-CN"/>
        </w:rPr>
        <w:t>二</w:t>
      </w:r>
      <w:r>
        <w:rPr>
          <w:rFonts w:hint="eastAsia" w:cs="仿宋_GB2312"/>
          <w:color w:val="auto"/>
          <w:sz w:val="24"/>
          <w:szCs w:val="24"/>
        </w:rPr>
        <w:t>份。</w:t>
      </w:r>
    </w:p>
    <w:p w14:paraId="28A04CA5">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 谈判函；</w:t>
      </w:r>
    </w:p>
    <w:p w14:paraId="6623CD0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 报价一览表；</w:t>
      </w:r>
    </w:p>
    <w:p w14:paraId="6C8DEF8E">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 分项价格表；</w:t>
      </w:r>
    </w:p>
    <w:p w14:paraId="64F08C85">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 偏离表；</w:t>
      </w:r>
    </w:p>
    <w:p w14:paraId="1069AD7E">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5. 谈判物资技术规格说明书；</w:t>
      </w:r>
    </w:p>
    <w:p w14:paraId="07BDFC9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6. 资格证明文件；</w:t>
      </w:r>
    </w:p>
    <w:p w14:paraId="3A880CE5">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7. 按采购文件要求投标人提交的其他文件。</w:t>
      </w:r>
    </w:p>
    <w:p w14:paraId="68EFBA82">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为响应采购文件的相关要求，我公司做如下承诺：</w:t>
      </w:r>
    </w:p>
    <w:p w14:paraId="02DEBC49">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 所附谈判价格表中规定的应提供和交付的货物谈判总价为</w:t>
      </w:r>
      <w:r>
        <w:rPr>
          <w:rFonts w:hint="eastAsia" w:cs="仿宋_GB2312"/>
          <w:color w:val="auto"/>
          <w:sz w:val="24"/>
          <w:szCs w:val="24"/>
          <w:u w:val="single"/>
        </w:rPr>
        <w:t xml:space="preserve">          </w:t>
      </w:r>
      <w:r>
        <w:rPr>
          <w:rFonts w:hint="eastAsia" w:cs="仿宋_GB2312"/>
          <w:color w:val="auto"/>
          <w:sz w:val="24"/>
          <w:szCs w:val="24"/>
        </w:rPr>
        <w:t>元(大写：</w:t>
      </w:r>
      <w:r>
        <w:rPr>
          <w:rFonts w:hint="eastAsia" w:cs="仿宋_GB2312"/>
          <w:color w:val="auto"/>
          <w:sz w:val="24"/>
          <w:szCs w:val="24"/>
          <w:u w:val="single"/>
        </w:rPr>
        <w:t xml:space="preserve">                 </w:t>
      </w:r>
      <w:r>
        <w:rPr>
          <w:rFonts w:hint="eastAsia" w:cs="仿宋_GB2312"/>
          <w:color w:val="auto"/>
          <w:sz w:val="24"/>
          <w:szCs w:val="24"/>
        </w:rPr>
        <w:t>元 )</w:t>
      </w:r>
    </w:p>
    <w:p w14:paraId="60DF6356">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 我们将按采购文件的规定履行合同责任和义务。</w:t>
      </w:r>
    </w:p>
    <w:p w14:paraId="0B84BAE5">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 我们已详细审查全部采购文件,包括修改意见(如有)以及全部参考资料和有关附件。我们完全理解并同意放弃对这方面有不明及误解而要求采购方解释和承担责任的权力。</w:t>
      </w:r>
    </w:p>
    <w:p w14:paraId="550A0AC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 在投标人须知规定的谈判有效期内遵循本谈判文件,并在投标人须知规定的谈判有效期期满之前具有约束力。</w:t>
      </w:r>
    </w:p>
    <w:p w14:paraId="2A31CF4E">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(5) 同意提供贵方可能要求的与本谈判有关的任何证据或资料。</w:t>
      </w:r>
    </w:p>
    <w:p w14:paraId="7628998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(6) 我们理解贵方不一定要接受最低报价的谈判。</w:t>
      </w:r>
    </w:p>
    <w:p w14:paraId="5FF177C3">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(7) 与本谈判有关的一切正式往来通讯请寄:</w:t>
      </w:r>
    </w:p>
    <w:p w14:paraId="699135D9">
      <w:pPr>
        <w:pStyle w:val="17"/>
        <w:widowControl w:val="0"/>
        <w:adjustRightInd w:val="0"/>
        <w:snapToGrid w:val="0"/>
        <w:spacing w:before="0" w:beforeAutospacing="0" w:after="0" w:afterAutospacing="0" w:line="360" w:lineRule="auto"/>
        <w:rPr>
          <w:rFonts w:hint="eastAsia" w:cs="仿宋_GB2312"/>
          <w:color w:val="auto"/>
          <w:sz w:val="24"/>
          <w:szCs w:val="24"/>
        </w:rPr>
      </w:pPr>
    </w:p>
    <w:p w14:paraId="0F656752">
      <w:pPr>
        <w:pStyle w:val="17"/>
        <w:widowControl w:val="0"/>
        <w:adjustRightInd w:val="0"/>
        <w:snapToGrid w:val="0"/>
        <w:spacing w:before="0" w:beforeAutospacing="0" w:after="0" w:afterAutospacing="0" w:line="360" w:lineRule="auto"/>
        <w:rPr>
          <w:rFonts w:hint="eastAsia" w:cs="仿宋_GB2312"/>
          <w:color w:val="auto"/>
          <w:sz w:val="24"/>
          <w:szCs w:val="24"/>
        </w:rPr>
      </w:pPr>
      <w:r>
        <w:rPr>
          <w:rFonts w:hint="eastAsia" w:cs="仿宋_GB2312"/>
          <w:color w:val="auto"/>
          <w:sz w:val="24"/>
          <w:szCs w:val="24"/>
        </w:rPr>
        <w:t>收件人:                       地  址:</w:t>
      </w:r>
    </w:p>
    <w:p w14:paraId="397081B4">
      <w:pPr>
        <w:pStyle w:val="17"/>
        <w:widowControl w:val="0"/>
        <w:adjustRightInd w:val="0"/>
        <w:snapToGrid w:val="0"/>
        <w:spacing w:before="0" w:beforeAutospacing="0" w:after="0" w:afterAutospacing="0" w:line="360" w:lineRule="auto"/>
        <w:rPr>
          <w:rFonts w:hint="eastAsia" w:cs="仿宋_GB2312"/>
          <w:color w:val="auto"/>
          <w:sz w:val="24"/>
          <w:szCs w:val="24"/>
        </w:rPr>
      </w:pPr>
      <w:r>
        <w:rPr>
          <w:rFonts w:hint="eastAsia" w:cs="仿宋_GB2312"/>
          <w:color w:val="auto"/>
          <w:sz w:val="24"/>
          <w:szCs w:val="24"/>
        </w:rPr>
        <w:t>邮  编:                       电  话:</w:t>
      </w:r>
    </w:p>
    <w:p w14:paraId="700B53F4">
      <w:pPr>
        <w:pStyle w:val="17"/>
        <w:widowControl w:val="0"/>
        <w:adjustRightInd w:val="0"/>
        <w:snapToGrid w:val="0"/>
        <w:spacing w:before="0" w:beforeAutospacing="0" w:after="0" w:afterAutospacing="0" w:line="360" w:lineRule="auto"/>
        <w:rPr>
          <w:rFonts w:hint="eastAsia" w:cs="仿宋_GB2312"/>
          <w:color w:val="auto"/>
          <w:sz w:val="24"/>
          <w:szCs w:val="24"/>
        </w:rPr>
      </w:pPr>
      <w:r>
        <w:rPr>
          <w:rFonts w:hint="eastAsia" w:cs="仿宋_GB2312"/>
          <w:color w:val="auto"/>
          <w:sz w:val="24"/>
          <w:szCs w:val="24"/>
        </w:rPr>
        <w:t>日  期:       年    月     日</w:t>
      </w:r>
    </w:p>
    <w:p w14:paraId="2BE8BBCC">
      <w:pPr>
        <w:pStyle w:val="17"/>
        <w:widowControl w:val="0"/>
        <w:adjustRightInd w:val="0"/>
        <w:snapToGrid w:val="0"/>
        <w:spacing w:before="0" w:beforeAutospacing="0" w:after="0" w:afterAutospacing="0" w:line="360" w:lineRule="auto"/>
        <w:rPr>
          <w:rFonts w:cs="仿宋_GB2312"/>
          <w:color w:val="auto"/>
          <w:sz w:val="24"/>
          <w:szCs w:val="24"/>
        </w:rPr>
      </w:pPr>
      <w:r>
        <w:rPr>
          <w:rFonts w:hint="eastAsia" w:cs="仿宋_GB2312"/>
          <w:color w:val="auto"/>
          <w:sz w:val="24"/>
          <w:szCs w:val="24"/>
        </w:rPr>
        <w:t xml:space="preserve">投标人授权代表（签字）：                投标人(盖章)：  </w:t>
      </w:r>
    </w:p>
    <w:p w14:paraId="344EB973">
      <w:pPr>
        <w:pStyle w:val="17"/>
        <w:widowControl w:val="0"/>
        <w:adjustRightInd w:val="0"/>
        <w:snapToGrid w:val="0"/>
        <w:spacing w:before="0" w:beforeAutospacing="0" w:after="0" w:afterAutospacing="0" w:line="360" w:lineRule="auto"/>
        <w:rPr>
          <w:rFonts w:cs="仿宋_GB2312"/>
          <w:color w:val="auto"/>
          <w:sz w:val="24"/>
          <w:szCs w:val="24"/>
        </w:rPr>
      </w:pPr>
    </w:p>
    <w:p w14:paraId="10B4219E">
      <w:pPr>
        <w:pStyle w:val="17"/>
        <w:widowControl w:val="0"/>
        <w:adjustRightInd w:val="0"/>
        <w:snapToGrid w:val="0"/>
        <w:spacing w:before="0" w:beforeAutospacing="0" w:after="0" w:afterAutospacing="0" w:line="360" w:lineRule="auto"/>
        <w:rPr>
          <w:rFonts w:cs="仿宋_GB2312"/>
          <w:color w:val="auto"/>
          <w:sz w:val="24"/>
          <w:szCs w:val="24"/>
        </w:rPr>
      </w:pPr>
    </w:p>
    <w:p w14:paraId="4A7189AE">
      <w:pPr>
        <w:pStyle w:val="17"/>
        <w:widowControl w:val="0"/>
        <w:adjustRightInd w:val="0"/>
        <w:snapToGrid w:val="0"/>
        <w:spacing w:before="0" w:beforeAutospacing="0" w:after="0" w:afterAutospacing="0" w:line="360" w:lineRule="auto"/>
        <w:rPr>
          <w:rFonts w:cs="仿宋_GB2312"/>
          <w:color w:val="auto"/>
          <w:sz w:val="24"/>
          <w:szCs w:val="24"/>
        </w:rPr>
      </w:pPr>
    </w:p>
    <w:p w14:paraId="5F050A8B">
      <w:pPr>
        <w:pStyle w:val="17"/>
        <w:widowControl w:val="0"/>
        <w:adjustRightInd w:val="0"/>
        <w:snapToGrid w:val="0"/>
        <w:spacing w:before="0" w:beforeAutospacing="0" w:after="0" w:afterAutospacing="0" w:line="360" w:lineRule="auto"/>
        <w:rPr>
          <w:rFonts w:hint="eastAsia" w:cs="仿宋_GB2312"/>
          <w:color w:val="auto"/>
          <w:sz w:val="24"/>
          <w:szCs w:val="24"/>
        </w:rPr>
      </w:pPr>
    </w:p>
    <w:p w14:paraId="05129195">
      <w:pPr>
        <w:pStyle w:val="17"/>
        <w:widowControl w:val="0"/>
        <w:adjustRightInd w:val="0"/>
        <w:snapToGrid w:val="0"/>
        <w:spacing w:before="0" w:beforeAutospacing="0" w:after="0" w:afterAutospacing="0" w:line="360" w:lineRule="auto"/>
        <w:rPr>
          <w:rFonts w:cs="仿宋_GB2312"/>
          <w:b/>
          <w:bCs/>
          <w:color w:val="auto"/>
          <w:sz w:val="24"/>
          <w:szCs w:val="24"/>
        </w:rPr>
      </w:pPr>
      <w:r>
        <w:rPr>
          <w:rFonts w:hint="eastAsia" w:cs="仿宋_GB2312"/>
          <w:b/>
          <w:bCs/>
          <w:color w:val="auto"/>
          <w:sz w:val="24"/>
          <w:szCs w:val="24"/>
        </w:rPr>
        <w:t xml:space="preserve"> 三、开标一览表:</w:t>
      </w:r>
    </w:p>
    <w:p w14:paraId="02750D68">
      <w:pPr>
        <w:pStyle w:val="17"/>
        <w:widowControl w:val="0"/>
        <w:adjustRightInd w:val="0"/>
        <w:snapToGrid w:val="0"/>
        <w:spacing w:before="0" w:beforeAutospacing="0" w:after="0" w:afterAutospacing="0" w:line="360" w:lineRule="auto"/>
        <w:rPr>
          <w:rFonts w:hint="eastAsia" w:eastAsia="宋体" w:cs="仿宋_GB2312"/>
          <w:b/>
          <w:bCs/>
          <w:color w:val="auto"/>
          <w:sz w:val="24"/>
          <w:szCs w:val="24"/>
          <w:lang w:val="en-US" w:eastAsia="zh-CN"/>
        </w:rPr>
      </w:pPr>
      <w:r>
        <w:rPr>
          <w:rFonts w:hint="eastAsia" w:cs="仿宋_GB2312"/>
          <w:b/>
          <w:bCs/>
          <w:color w:val="auto"/>
          <w:sz w:val="24"/>
          <w:szCs w:val="24"/>
        </w:rPr>
        <w:t>项目名称：</w:t>
      </w:r>
      <w:r>
        <w:rPr>
          <w:rFonts w:hint="eastAsia" w:cs="仿宋_GB2312"/>
          <w:b/>
          <w:bCs/>
          <w:color w:val="auto"/>
          <w:sz w:val="24"/>
          <w:szCs w:val="24"/>
          <w:lang w:val="en-US" w:eastAsia="zh-CN"/>
        </w:rPr>
        <w:t>智慧</w:t>
      </w:r>
      <w:r>
        <w:rPr>
          <w:rFonts w:hint="eastAsia" w:cs="仿宋_GB2312"/>
          <w:b/>
          <w:bCs/>
          <w:color w:val="auto"/>
          <w:sz w:val="24"/>
          <w:szCs w:val="24"/>
        </w:rPr>
        <w:t>园区</w:t>
      </w:r>
      <w:r>
        <w:rPr>
          <w:rFonts w:hint="eastAsia" w:cs="仿宋_GB2312"/>
          <w:b/>
          <w:bCs/>
          <w:color w:val="auto"/>
          <w:sz w:val="24"/>
          <w:szCs w:val="24"/>
          <w:lang w:val="en-US" w:eastAsia="zh-CN"/>
        </w:rPr>
        <w:t>办公楼楼体发光字</w:t>
      </w:r>
      <w:r>
        <w:rPr>
          <w:rFonts w:hint="eastAsia" w:cs="仿宋_GB2312"/>
          <w:b/>
          <w:bCs/>
          <w:color w:val="auto"/>
          <w:sz w:val="24"/>
          <w:szCs w:val="24"/>
        </w:rPr>
        <w:t>采购及安装</w:t>
      </w:r>
    </w:p>
    <w:tbl>
      <w:tblPr>
        <w:tblStyle w:val="19"/>
        <w:tblW w:w="95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843"/>
        <w:gridCol w:w="992"/>
        <w:gridCol w:w="651"/>
        <w:gridCol w:w="850"/>
        <w:gridCol w:w="851"/>
        <w:gridCol w:w="1385"/>
        <w:gridCol w:w="1153"/>
        <w:gridCol w:w="1049"/>
      </w:tblGrid>
      <w:tr w14:paraId="7C42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752" w:type="dxa"/>
            <w:noWrap w:val="0"/>
            <w:vAlign w:val="center"/>
          </w:tcPr>
          <w:p w14:paraId="25BB249F">
            <w:pPr>
              <w:ind w:left="-120" w:leftChars="-57" w:right="-105" w:rightChars="-50"/>
              <w:jc w:val="center"/>
              <w:rPr>
                <w:rFonts w:ascii="宋体" w:hAnsi="宋体"/>
                <w:color w:val="auto"/>
                <w:szCs w:val="21"/>
              </w:rPr>
            </w:pPr>
            <w:r>
              <w:rPr>
                <w:rFonts w:hint="eastAsia" w:ascii="宋体" w:hAnsi="宋体"/>
                <w:color w:val="auto"/>
                <w:szCs w:val="21"/>
              </w:rPr>
              <w:t>序号</w:t>
            </w:r>
          </w:p>
        </w:tc>
        <w:tc>
          <w:tcPr>
            <w:tcW w:w="1843" w:type="dxa"/>
            <w:noWrap w:val="0"/>
            <w:vAlign w:val="center"/>
          </w:tcPr>
          <w:p w14:paraId="271836C9">
            <w:pPr>
              <w:ind w:left="-107" w:leftChars="-51" w:right="-107" w:rightChars="-51"/>
              <w:jc w:val="center"/>
              <w:rPr>
                <w:rFonts w:hint="default" w:ascii="宋体" w:hAnsi="宋体" w:eastAsia="宋体"/>
                <w:color w:val="auto"/>
                <w:szCs w:val="21"/>
                <w:lang w:val="en-US" w:eastAsia="zh-CN"/>
              </w:rPr>
            </w:pPr>
            <w:r>
              <w:rPr>
                <w:rFonts w:hint="eastAsia" w:ascii="宋体" w:hAnsi="宋体"/>
                <w:color w:val="auto"/>
                <w:szCs w:val="21"/>
                <w:lang w:val="en-US" w:eastAsia="zh-CN"/>
              </w:rPr>
              <w:t>分项名称</w:t>
            </w:r>
          </w:p>
        </w:tc>
        <w:tc>
          <w:tcPr>
            <w:tcW w:w="992" w:type="dxa"/>
            <w:noWrap w:val="0"/>
            <w:vAlign w:val="center"/>
          </w:tcPr>
          <w:p w14:paraId="2AC67B2C">
            <w:pPr>
              <w:ind w:left="-107" w:leftChars="-51" w:right="-107" w:rightChars="-51" w:firstLine="210" w:firstLineChars="100"/>
              <w:rPr>
                <w:rFonts w:ascii="宋体" w:hAnsi="宋体"/>
                <w:color w:val="auto"/>
                <w:szCs w:val="21"/>
              </w:rPr>
            </w:pPr>
            <w:r>
              <w:rPr>
                <w:rFonts w:hint="eastAsia" w:ascii="宋体" w:hAnsi="宋体"/>
                <w:color w:val="auto"/>
                <w:szCs w:val="21"/>
              </w:rPr>
              <w:t>规格</w:t>
            </w:r>
          </w:p>
        </w:tc>
        <w:tc>
          <w:tcPr>
            <w:tcW w:w="651" w:type="dxa"/>
            <w:noWrap w:val="0"/>
            <w:vAlign w:val="center"/>
          </w:tcPr>
          <w:p w14:paraId="07F02912">
            <w:pPr>
              <w:ind w:left="-107" w:leftChars="-51" w:right="-107" w:rightChars="-51" w:firstLine="210" w:firstLineChars="100"/>
              <w:rPr>
                <w:rFonts w:ascii="宋体" w:hAnsi="宋体"/>
                <w:color w:val="auto"/>
                <w:szCs w:val="21"/>
              </w:rPr>
            </w:pPr>
            <w:r>
              <w:rPr>
                <w:rFonts w:hint="eastAsia" w:ascii="宋体" w:hAnsi="宋体"/>
                <w:color w:val="auto"/>
                <w:szCs w:val="21"/>
              </w:rPr>
              <w:t>单位</w:t>
            </w:r>
          </w:p>
        </w:tc>
        <w:tc>
          <w:tcPr>
            <w:tcW w:w="850" w:type="dxa"/>
            <w:noWrap w:val="0"/>
            <w:vAlign w:val="top"/>
          </w:tcPr>
          <w:p w14:paraId="4BA92483">
            <w:pPr>
              <w:spacing w:line="360" w:lineRule="auto"/>
              <w:ind w:right="-107" w:rightChars="-51"/>
              <w:jc w:val="center"/>
              <w:rPr>
                <w:rFonts w:hint="eastAsia" w:ascii="宋体" w:hAnsi="宋体"/>
                <w:color w:val="auto"/>
                <w:szCs w:val="21"/>
              </w:rPr>
            </w:pPr>
            <w:r>
              <w:rPr>
                <w:rFonts w:hint="eastAsia" w:ascii="宋体" w:hAnsi="宋体"/>
                <w:color w:val="auto"/>
                <w:szCs w:val="21"/>
              </w:rPr>
              <w:t>数量</w:t>
            </w:r>
          </w:p>
        </w:tc>
        <w:tc>
          <w:tcPr>
            <w:tcW w:w="851" w:type="dxa"/>
            <w:noWrap w:val="0"/>
            <w:vAlign w:val="top"/>
          </w:tcPr>
          <w:p w14:paraId="66E9DD31">
            <w:pPr>
              <w:spacing w:line="360" w:lineRule="auto"/>
              <w:ind w:right="-107" w:rightChars="-51"/>
              <w:jc w:val="center"/>
              <w:rPr>
                <w:rFonts w:ascii="宋体" w:hAnsi="宋体"/>
                <w:color w:val="auto"/>
                <w:szCs w:val="21"/>
              </w:rPr>
            </w:pPr>
            <w:r>
              <w:rPr>
                <w:rFonts w:hint="eastAsia" w:ascii="宋体" w:hAnsi="宋体"/>
                <w:color w:val="auto"/>
                <w:szCs w:val="21"/>
              </w:rPr>
              <w:t>单价</w:t>
            </w:r>
          </w:p>
        </w:tc>
        <w:tc>
          <w:tcPr>
            <w:tcW w:w="1385" w:type="dxa"/>
            <w:noWrap w:val="0"/>
            <w:vAlign w:val="top"/>
          </w:tcPr>
          <w:p w14:paraId="7DF057C2">
            <w:pPr>
              <w:spacing w:line="360" w:lineRule="auto"/>
              <w:ind w:left="-107" w:leftChars="-51" w:right="-107" w:rightChars="-51"/>
              <w:jc w:val="center"/>
              <w:rPr>
                <w:rFonts w:ascii="宋体" w:hAnsi="宋体"/>
                <w:color w:val="auto"/>
                <w:szCs w:val="21"/>
              </w:rPr>
            </w:pPr>
            <w:r>
              <w:rPr>
                <w:rFonts w:hint="eastAsia" w:ascii="宋体" w:hAnsi="宋体"/>
                <w:color w:val="auto"/>
                <w:szCs w:val="21"/>
              </w:rPr>
              <w:t>金额</w:t>
            </w:r>
          </w:p>
        </w:tc>
        <w:tc>
          <w:tcPr>
            <w:tcW w:w="1153" w:type="dxa"/>
            <w:noWrap w:val="0"/>
            <w:vAlign w:val="center"/>
          </w:tcPr>
          <w:p w14:paraId="7C930AC0">
            <w:pPr>
              <w:ind w:left="-107" w:leftChars="-51" w:right="-97" w:rightChars="-46"/>
              <w:jc w:val="center"/>
              <w:rPr>
                <w:rFonts w:ascii="宋体" w:hAnsi="宋体"/>
                <w:color w:val="auto"/>
                <w:szCs w:val="21"/>
              </w:rPr>
            </w:pPr>
            <w:r>
              <w:rPr>
                <w:rFonts w:hint="eastAsia" w:ascii="宋体" w:hAnsi="宋体"/>
                <w:color w:val="auto"/>
                <w:szCs w:val="21"/>
              </w:rPr>
              <w:t>品牌</w:t>
            </w:r>
          </w:p>
        </w:tc>
        <w:tc>
          <w:tcPr>
            <w:tcW w:w="1049" w:type="dxa"/>
            <w:noWrap w:val="0"/>
            <w:vAlign w:val="center"/>
          </w:tcPr>
          <w:p w14:paraId="7307A731">
            <w:pPr>
              <w:ind w:left="-107" w:leftChars="-51" w:right="-97" w:rightChars="-46"/>
              <w:jc w:val="center"/>
              <w:rPr>
                <w:rFonts w:hint="eastAsia" w:ascii="宋体" w:hAnsi="宋体"/>
                <w:color w:val="auto"/>
                <w:szCs w:val="21"/>
              </w:rPr>
            </w:pPr>
            <w:r>
              <w:rPr>
                <w:rFonts w:hint="eastAsia" w:ascii="宋体" w:hAnsi="宋体"/>
                <w:color w:val="auto"/>
                <w:szCs w:val="21"/>
              </w:rPr>
              <w:t>图样</w:t>
            </w:r>
          </w:p>
        </w:tc>
      </w:tr>
      <w:tr w14:paraId="6AFF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52" w:type="dxa"/>
            <w:noWrap w:val="0"/>
            <w:vAlign w:val="center"/>
          </w:tcPr>
          <w:p w14:paraId="16894626">
            <w:pPr>
              <w:spacing w:before="107"/>
              <w:ind w:firstLine="240" w:firstLineChars="100"/>
              <w:jc w:val="center"/>
              <w:rPr>
                <w:rFonts w:ascii="等线 Light" w:hAnsi="等线 Light" w:eastAsia="等线 Light" w:cs="等线 Light"/>
                <w:color w:val="auto"/>
                <w:sz w:val="24"/>
              </w:rPr>
            </w:pPr>
            <w:r>
              <w:rPr>
                <w:rFonts w:hint="eastAsia" w:ascii="等线 Light" w:hAnsi="等线 Light" w:eastAsia="等线 Light" w:cs="等线 Light"/>
                <w:color w:val="auto"/>
                <w:sz w:val="24"/>
              </w:rPr>
              <w:t>1</w:t>
            </w:r>
          </w:p>
        </w:tc>
        <w:tc>
          <w:tcPr>
            <w:tcW w:w="1843" w:type="dxa"/>
            <w:noWrap w:val="0"/>
            <w:vAlign w:val="center"/>
          </w:tcPr>
          <w:p w14:paraId="063B3B65">
            <w:pPr>
              <w:pStyle w:val="17"/>
              <w:widowControl w:val="0"/>
              <w:adjustRightInd w:val="0"/>
              <w:snapToGrid w:val="0"/>
              <w:spacing w:before="0" w:beforeAutospacing="0" w:after="0" w:afterAutospacing="0" w:line="360" w:lineRule="auto"/>
              <w:jc w:val="center"/>
              <w:rPr>
                <w:rFonts w:hint="eastAsia" w:cs="宋体"/>
                <w:color w:val="auto"/>
              </w:rPr>
            </w:pPr>
          </w:p>
        </w:tc>
        <w:tc>
          <w:tcPr>
            <w:tcW w:w="992" w:type="dxa"/>
            <w:noWrap w:val="0"/>
            <w:vAlign w:val="center"/>
          </w:tcPr>
          <w:p w14:paraId="132B336A">
            <w:pPr>
              <w:pStyle w:val="17"/>
              <w:widowControl w:val="0"/>
              <w:adjustRightInd w:val="0"/>
              <w:snapToGrid w:val="0"/>
              <w:spacing w:before="0" w:beforeAutospacing="0" w:after="0" w:afterAutospacing="0"/>
              <w:jc w:val="center"/>
              <w:rPr>
                <w:rFonts w:ascii="仿宋" w:hAnsi="仿宋" w:eastAsia="仿宋" w:cs="仿宋"/>
                <w:color w:val="auto"/>
              </w:rPr>
            </w:pPr>
          </w:p>
        </w:tc>
        <w:tc>
          <w:tcPr>
            <w:tcW w:w="651" w:type="dxa"/>
            <w:noWrap w:val="0"/>
            <w:vAlign w:val="center"/>
          </w:tcPr>
          <w:p w14:paraId="40357606">
            <w:pPr>
              <w:pStyle w:val="17"/>
              <w:widowControl w:val="0"/>
              <w:adjustRightInd w:val="0"/>
              <w:snapToGrid w:val="0"/>
              <w:spacing w:before="0" w:beforeAutospacing="0" w:after="0" w:afterAutospacing="0"/>
              <w:jc w:val="center"/>
              <w:rPr>
                <w:color w:val="auto"/>
              </w:rPr>
            </w:pPr>
          </w:p>
          <w:p w14:paraId="6DC28562">
            <w:pPr>
              <w:pStyle w:val="17"/>
              <w:widowControl w:val="0"/>
              <w:adjustRightInd w:val="0"/>
              <w:snapToGrid w:val="0"/>
              <w:spacing w:before="0" w:beforeAutospacing="0" w:after="0" w:afterAutospacing="0"/>
              <w:jc w:val="center"/>
              <w:rPr>
                <w:rFonts w:hint="eastAsia"/>
                <w:color w:val="auto"/>
              </w:rPr>
            </w:pPr>
          </w:p>
        </w:tc>
        <w:tc>
          <w:tcPr>
            <w:tcW w:w="850" w:type="dxa"/>
            <w:noWrap w:val="0"/>
            <w:vAlign w:val="top"/>
          </w:tcPr>
          <w:p w14:paraId="46BB7D37">
            <w:pPr>
              <w:pStyle w:val="17"/>
              <w:widowControl w:val="0"/>
              <w:adjustRightInd w:val="0"/>
              <w:snapToGrid w:val="0"/>
              <w:spacing w:before="0" w:beforeAutospacing="0" w:after="0" w:afterAutospacing="0"/>
              <w:jc w:val="center"/>
              <w:rPr>
                <w:color w:val="auto"/>
              </w:rPr>
            </w:pPr>
          </w:p>
        </w:tc>
        <w:tc>
          <w:tcPr>
            <w:tcW w:w="851" w:type="dxa"/>
            <w:noWrap w:val="0"/>
            <w:vAlign w:val="center"/>
          </w:tcPr>
          <w:p w14:paraId="4E252B4A">
            <w:pPr>
              <w:pStyle w:val="17"/>
              <w:widowControl w:val="0"/>
              <w:adjustRightInd w:val="0"/>
              <w:snapToGrid w:val="0"/>
              <w:spacing w:before="0" w:beforeAutospacing="0" w:after="0" w:afterAutospacing="0"/>
              <w:jc w:val="center"/>
              <w:rPr>
                <w:color w:val="auto"/>
              </w:rPr>
            </w:pPr>
          </w:p>
          <w:p w14:paraId="67D09246">
            <w:pPr>
              <w:pStyle w:val="17"/>
              <w:widowControl w:val="0"/>
              <w:adjustRightInd w:val="0"/>
              <w:snapToGrid w:val="0"/>
              <w:spacing w:before="0" w:beforeAutospacing="0" w:after="0" w:afterAutospacing="0"/>
              <w:jc w:val="center"/>
              <w:rPr>
                <w:color w:val="auto"/>
              </w:rPr>
            </w:pPr>
          </w:p>
        </w:tc>
        <w:tc>
          <w:tcPr>
            <w:tcW w:w="1385" w:type="dxa"/>
            <w:noWrap w:val="0"/>
            <w:vAlign w:val="center"/>
          </w:tcPr>
          <w:p w14:paraId="60A3A329">
            <w:pPr>
              <w:ind w:left="-107" w:leftChars="-51" w:right="-107" w:rightChars="-51"/>
              <w:jc w:val="center"/>
              <w:rPr>
                <w:rFonts w:ascii="宋体" w:hAnsi="宋体"/>
                <w:color w:val="auto"/>
                <w:sz w:val="18"/>
                <w:szCs w:val="18"/>
              </w:rPr>
            </w:pPr>
          </w:p>
        </w:tc>
        <w:tc>
          <w:tcPr>
            <w:tcW w:w="1153" w:type="dxa"/>
            <w:noWrap w:val="0"/>
            <w:vAlign w:val="center"/>
          </w:tcPr>
          <w:p w14:paraId="29E47091">
            <w:pPr>
              <w:spacing w:before="77"/>
              <w:jc w:val="center"/>
              <w:rPr>
                <w:rFonts w:ascii="宋体" w:hAnsi="宋体"/>
                <w:color w:val="auto"/>
                <w:sz w:val="18"/>
                <w:szCs w:val="18"/>
              </w:rPr>
            </w:pPr>
          </w:p>
        </w:tc>
        <w:tc>
          <w:tcPr>
            <w:tcW w:w="1049" w:type="dxa"/>
            <w:noWrap w:val="0"/>
            <w:vAlign w:val="center"/>
          </w:tcPr>
          <w:p w14:paraId="72FA44B8">
            <w:pPr>
              <w:spacing w:before="77"/>
              <w:jc w:val="center"/>
              <w:rPr>
                <w:rFonts w:ascii="宋体" w:hAnsi="宋体"/>
                <w:color w:val="auto"/>
                <w:sz w:val="18"/>
                <w:szCs w:val="18"/>
              </w:rPr>
            </w:pPr>
          </w:p>
        </w:tc>
      </w:tr>
      <w:tr w14:paraId="6E6C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752" w:type="dxa"/>
            <w:noWrap w:val="0"/>
            <w:vAlign w:val="center"/>
          </w:tcPr>
          <w:p w14:paraId="7BF716A2">
            <w:pPr>
              <w:spacing w:before="237"/>
              <w:ind w:firstLine="240" w:firstLineChars="100"/>
              <w:jc w:val="center"/>
              <w:rPr>
                <w:rFonts w:ascii="等线 Light" w:hAnsi="等线 Light" w:eastAsia="等线 Light" w:cs="等线 Light"/>
                <w:color w:val="auto"/>
                <w:sz w:val="24"/>
              </w:rPr>
            </w:pPr>
            <w:r>
              <w:rPr>
                <w:rFonts w:hint="eastAsia" w:ascii="等线 Light" w:hAnsi="等线 Light" w:eastAsia="等线 Light" w:cs="等线 Light"/>
                <w:color w:val="auto"/>
                <w:sz w:val="24"/>
              </w:rPr>
              <w:t>2</w:t>
            </w:r>
          </w:p>
        </w:tc>
        <w:tc>
          <w:tcPr>
            <w:tcW w:w="1843" w:type="dxa"/>
            <w:noWrap w:val="0"/>
            <w:vAlign w:val="center"/>
          </w:tcPr>
          <w:p w14:paraId="207E6AF0">
            <w:pPr>
              <w:pStyle w:val="17"/>
              <w:widowControl w:val="0"/>
              <w:adjustRightInd w:val="0"/>
              <w:snapToGrid w:val="0"/>
              <w:spacing w:before="0" w:beforeAutospacing="0" w:after="0" w:afterAutospacing="0" w:line="360" w:lineRule="auto"/>
              <w:jc w:val="center"/>
              <w:rPr>
                <w:rFonts w:hint="eastAsia"/>
                <w:color w:val="auto"/>
                <w:sz w:val="24"/>
                <w:szCs w:val="24"/>
              </w:rPr>
            </w:pPr>
          </w:p>
        </w:tc>
        <w:tc>
          <w:tcPr>
            <w:tcW w:w="992" w:type="dxa"/>
            <w:noWrap w:val="0"/>
            <w:vAlign w:val="center"/>
          </w:tcPr>
          <w:p w14:paraId="615FEB6C">
            <w:pPr>
              <w:pStyle w:val="17"/>
              <w:widowControl w:val="0"/>
              <w:adjustRightInd w:val="0"/>
              <w:snapToGrid w:val="0"/>
              <w:spacing w:before="0" w:beforeAutospacing="0" w:after="0" w:afterAutospacing="0"/>
              <w:jc w:val="center"/>
              <w:rPr>
                <w:rFonts w:ascii="仿宋" w:hAnsi="仿宋" w:eastAsia="仿宋" w:cs="仿宋"/>
                <w:color w:val="auto"/>
                <w:sz w:val="24"/>
                <w:szCs w:val="24"/>
              </w:rPr>
            </w:pPr>
          </w:p>
        </w:tc>
        <w:tc>
          <w:tcPr>
            <w:tcW w:w="651" w:type="dxa"/>
            <w:noWrap w:val="0"/>
            <w:vAlign w:val="center"/>
          </w:tcPr>
          <w:p w14:paraId="399A8C55">
            <w:pPr>
              <w:pStyle w:val="17"/>
              <w:widowControl w:val="0"/>
              <w:adjustRightInd w:val="0"/>
              <w:snapToGrid w:val="0"/>
              <w:spacing w:before="0" w:beforeAutospacing="0" w:after="0" w:afterAutospacing="0"/>
              <w:jc w:val="center"/>
              <w:rPr>
                <w:color w:val="auto"/>
                <w:sz w:val="24"/>
                <w:szCs w:val="24"/>
              </w:rPr>
            </w:pPr>
          </w:p>
          <w:p w14:paraId="493B7567">
            <w:pPr>
              <w:pStyle w:val="17"/>
              <w:widowControl w:val="0"/>
              <w:adjustRightInd w:val="0"/>
              <w:snapToGrid w:val="0"/>
              <w:spacing w:before="0" w:beforeAutospacing="0" w:after="0" w:afterAutospacing="0"/>
              <w:jc w:val="center"/>
              <w:rPr>
                <w:rFonts w:hint="eastAsia"/>
                <w:color w:val="auto"/>
                <w:sz w:val="24"/>
                <w:szCs w:val="24"/>
              </w:rPr>
            </w:pPr>
          </w:p>
        </w:tc>
        <w:tc>
          <w:tcPr>
            <w:tcW w:w="850" w:type="dxa"/>
            <w:noWrap w:val="0"/>
            <w:vAlign w:val="top"/>
          </w:tcPr>
          <w:p w14:paraId="65485F6A">
            <w:pPr>
              <w:pStyle w:val="17"/>
              <w:widowControl w:val="0"/>
              <w:adjustRightInd w:val="0"/>
              <w:snapToGrid w:val="0"/>
              <w:spacing w:before="0" w:beforeAutospacing="0" w:after="0" w:afterAutospacing="0"/>
              <w:jc w:val="center"/>
              <w:rPr>
                <w:color w:val="auto"/>
                <w:sz w:val="24"/>
                <w:szCs w:val="24"/>
              </w:rPr>
            </w:pPr>
          </w:p>
        </w:tc>
        <w:tc>
          <w:tcPr>
            <w:tcW w:w="851" w:type="dxa"/>
            <w:noWrap w:val="0"/>
            <w:vAlign w:val="center"/>
          </w:tcPr>
          <w:p w14:paraId="0FC42B3D">
            <w:pPr>
              <w:pStyle w:val="17"/>
              <w:widowControl w:val="0"/>
              <w:adjustRightInd w:val="0"/>
              <w:snapToGrid w:val="0"/>
              <w:spacing w:before="0" w:beforeAutospacing="0" w:after="0" w:afterAutospacing="0"/>
              <w:jc w:val="center"/>
              <w:rPr>
                <w:color w:val="auto"/>
                <w:sz w:val="24"/>
                <w:szCs w:val="24"/>
              </w:rPr>
            </w:pPr>
          </w:p>
          <w:p w14:paraId="1F053BDF">
            <w:pPr>
              <w:pStyle w:val="17"/>
              <w:widowControl w:val="0"/>
              <w:adjustRightInd w:val="0"/>
              <w:snapToGrid w:val="0"/>
              <w:spacing w:before="0" w:beforeAutospacing="0" w:after="0" w:afterAutospacing="0"/>
              <w:jc w:val="center"/>
              <w:rPr>
                <w:color w:val="auto"/>
                <w:sz w:val="24"/>
                <w:szCs w:val="24"/>
              </w:rPr>
            </w:pPr>
          </w:p>
        </w:tc>
        <w:tc>
          <w:tcPr>
            <w:tcW w:w="1385" w:type="dxa"/>
            <w:noWrap w:val="0"/>
            <w:vAlign w:val="center"/>
          </w:tcPr>
          <w:p w14:paraId="33084944">
            <w:pPr>
              <w:ind w:left="-107" w:leftChars="-51" w:right="-107" w:rightChars="-51"/>
              <w:jc w:val="center"/>
              <w:rPr>
                <w:rFonts w:ascii="宋体" w:hAnsi="宋体"/>
                <w:color w:val="auto"/>
                <w:sz w:val="24"/>
              </w:rPr>
            </w:pPr>
          </w:p>
        </w:tc>
        <w:tc>
          <w:tcPr>
            <w:tcW w:w="1153" w:type="dxa"/>
            <w:noWrap w:val="0"/>
            <w:vAlign w:val="center"/>
          </w:tcPr>
          <w:p w14:paraId="283A8E05">
            <w:pPr>
              <w:jc w:val="center"/>
              <w:rPr>
                <w:rFonts w:ascii="宋体" w:hAnsi="宋体"/>
                <w:color w:val="auto"/>
                <w:sz w:val="24"/>
              </w:rPr>
            </w:pPr>
          </w:p>
        </w:tc>
        <w:tc>
          <w:tcPr>
            <w:tcW w:w="1049" w:type="dxa"/>
            <w:noWrap w:val="0"/>
            <w:vAlign w:val="center"/>
          </w:tcPr>
          <w:p w14:paraId="686F3688">
            <w:pPr>
              <w:jc w:val="center"/>
              <w:rPr>
                <w:rFonts w:ascii="宋体" w:hAnsi="宋体"/>
                <w:color w:val="auto"/>
                <w:sz w:val="24"/>
              </w:rPr>
            </w:pPr>
          </w:p>
        </w:tc>
      </w:tr>
      <w:tr w14:paraId="3A51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52" w:type="dxa"/>
            <w:noWrap w:val="0"/>
            <w:vAlign w:val="center"/>
          </w:tcPr>
          <w:p w14:paraId="016B1010">
            <w:pPr>
              <w:spacing w:before="179"/>
              <w:ind w:left="323"/>
              <w:jc w:val="center"/>
              <w:rPr>
                <w:rFonts w:ascii="等线 Light" w:hAnsi="等线 Light" w:eastAsia="等线 Light" w:cs="等线 Light"/>
                <w:color w:val="auto"/>
                <w:sz w:val="24"/>
              </w:rPr>
            </w:pPr>
            <w:r>
              <w:rPr>
                <w:rFonts w:hint="eastAsia" w:ascii="等线 Light" w:hAnsi="等线 Light" w:eastAsia="等线 Light" w:cs="等线 Light"/>
                <w:color w:val="auto"/>
                <w:sz w:val="24"/>
              </w:rPr>
              <w:t>3</w:t>
            </w:r>
          </w:p>
        </w:tc>
        <w:tc>
          <w:tcPr>
            <w:tcW w:w="1843" w:type="dxa"/>
            <w:noWrap w:val="0"/>
            <w:vAlign w:val="center"/>
          </w:tcPr>
          <w:p w14:paraId="5CE81615">
            <w:pPr>
              <w:pStyle w:val="17"/>
              <w:widowControl w:val="0"/>
              <w:adjustRightInd w:val="0"/>
              <w:snapToGrid w:val="0"/>
              <w:spacing w:before="0" w:beforeAutospacing="0" w:after="0" w:afterAutospacing="0" w:line="360" w:lineRule="auto"/>
              <w:jc w:val="center"/>
              <w:rPr>
                <w:rFonts w:hint="eastAsia" w:cs="宋体"/>
                <w:color w:val="auto"/>
                <w:sz w:val="24"/>
                <w:szCs w:val="24"/>
              </w:rPr>
            </w:pPr>
          </w:p>
        </w:tc>
        <w:tc>
          <w:tcPr>
            <w:tcW w:w="992" w:type="dxa"/>
            <w:noWrap w:val="0"/>
            <w:vAlign w:val="center"/>
          </w:tcPr>
          <w:p w14:paraId="16A461E7">
            <w:pPr>
              <w:pStyle w:val="17"/>
              <w:widowControl w:val="0"/>
              <w:adjustRightInd w:val="0"/>
              <w:snapToGrid w:val="0"/>
              <w:spacing w:before="0" w:beforeAutospacing="0" w:after="0" w:afterAutospacing="0"/>
              <w:jc w:val="center"/>
              <w:rPr>
                <w:rFonts w:ascii="仿宋" w:hAnsi="仿宋" w:eastAsia="仿宋" w:cs="仿宋"/>
                <w:color w:val="auto"/>
                <w:sz w:val="24"/>
                <w:szCs w:val="24"/>
              </w:rPr>
            </w:pPr>
          </w:p>
        </w:tc>
        <w:tc>
          <w:tcPr>
            <w:tcW w:w="651" w:type="dxa"/>
            <w:noWrap w:val="0"/>
            <w:vAlign w:val="center"/>
          </w:tcPr>
          <w:p w14:paraId="1976AB38">
            <w:pPr>
              <w:pStyle w:val="17"/>
              <w:widowControl w:val="0"/>
              <w:adjustRightInd w:val="0"/>
              <w:snapToGrid w:val="0"/>
              <w:spacing w:before="0" w:beforeAutospacing="0" w:after="0" w:afterAutospacing="0"/>
              <w:jc w:val="center"/>
              <w:rPr>
                <w:color w:val="auto"/>
                <w:sz w:val="24"/>
                <w:szCs w:val="24"/>
              </w:rPr>
            </w:pPr>
          </w:p>
          <w:p w14:paraId="73AB2702">
            <w:pPr>
              <w:pStyle w:val="17"/>
              <w:widowControl w:val="0"/>
              <w:adjustRightInd w:val="0"/>
              <w:snapToGrid w:val="0"/>
              <w:spacing w:before="0" w:beforeAutospacing="0" w:after="0" w:afterAutospacing="0"/>
              <w:jc w:val="center"/>
              <w:rPr>
                <w:rFonts w:hint="eastAsia"/>
                <w:color w:val="auto"/>
                <w:sz w:val="24"/>
                <w:szCs w:val="24"/>
              </w:rPr>
            </w:pPr>
          </w:p>
        </w:tc>
        <w:tc>
          <w:tcPr>
            <w:tcW w:w="850" w:type="dxa"/>
            <w:noWrap w:val="0"/>
            <w:vAlign w:val="top"/>
          </w:tcPr>
          <w:p w14:paraId="0BE22459">
            <w:pPr>
              <w:pStyle w:val="17"/>
              <w:widowControl w:val="0"/>
              <w:adjustRightInd w:val="0"/>
              <w:snapToGrid w:val="0"/>
              <w:spacing w:before="0" w:beforeAutospacing="0" w:after="0" w:afterAutospacing="0"/>
              <w:jc w:val="center"/>
              <w:rPr>
                <w:color w:val="auto"/>
                <w:sz w:val="24"/>
                <w:szCs w:val="24"/>
              </w:rPr>
            </w:pPr>
          </w:p>
        </w:tc>
        <w:tc>
          <w:tcPr>
            <w:tcW w:w="851" w:type="dxa"/>
            <w:noWrap w:val="0"/>
            <w:vAlign w:val="center"/>
          </w:tcPr>
          <w:p w14:paraId="4C42215B">
            <w:pPr>
              <w:pStyle w:val="17"/>
              <w:widowControl w:val="0"/>
              <w:adjustRightInd w:val="0"/>
              <w:snapToGrid w:val="0"/>
              <w:spacing w:before="0" w:beforeAutospacing="0" w:after="0" w:afterAutospacing="0"/>
              <w:jc w:val="center"/>
              <w:rPr>
                <w:color w:val="auto"/>
                <w:sz w:val="24"/>
                <w:szCs w:val="24"/>
              </w:rPr>
            </w:pPr>
          </w:p>
          <w:p w14:paraId="3A78AEBC">
            <w:pPr>
              <w:pStyle w:val="17"/>
              <w:widowControl w:val="0"/>
              <w:adjustRightInd w:val="0"/>
              <w:snapToGrid w:val="0"/>
              <w:spacing w:before="0" w:beforeAutospacing="0" w:after="0" w:afterAutospacing="0"/>
              <w:jc w:val="center"/>
              <w:rPr>
                <w:color w:val="auto"/>
                <w:sz w:val="24"/>
                <w:szCs w:val="24"/>
              </w:rPr>
            </w:pPr>
          </w:p>
        </w:tc>
        <w:tc>
          <w:tcPr>
            <w:tcW w:w="1385" w:type="dxa"/>
            <w:noWrap w:val="0"/>
            <w:vAlign w:val="center"/>
          </w:tcPr>
          <w:p w14:paraId="01F9EFFD">
            <w:pPr>
              <w:ind w:left="-107" w:leftChars="-51" w:right="-107" w:rightChars="-51"/>
              <w:jc w:val="center"/>
              <w:rPr>
                <w:rFonts w:ascii="宋体" w:hAnsi="宋体"/>
                <w:color w:val="auto"/>
                <w:sz w:val="24"/>
              </w:rPr>
            </w:pPr>
          </w:p>
        </w:tc>
        <w:tc>
          <w:tcPr>
            <w:tcW w:w="1153" w:type="dxa"/>
            <w:noWrap w:val="0"/>
            <w:vAlign w:val="center"/>
          </w:tcPr>
          <w:p w14:paraId="11CE9266">
            <w:pPr>
              <w:jc w:val="center"/>
              <w:rPr>
                <w:rFonts w:ascii="宋体" w:hAnsi="宋体"/>
                <w:color w:val="auto"/>
                <w:sz w:val="24"/>
              </w:rPr>
            </w:pPr>
          </w:p>
        </w:tc>
        <w:tc>
          <w:tcPr>
            <w:tcW w:w="1049" w:type="dxa"/>
            <w:noWrap w:val="0"/>
            <w:vAlign w:val="center"/>
          </w:tcPr>
          <w:p w14:paraId="3C3184F5">
            <w:pPr>
              <w:jc w:val="center"/>
              <w:rPr>
                <w:rFonts w:ascii="宋体" w:hAnsi="宋体"/>
                <w:color w:val="auto"/>
                <w:sz w:val="24"/>
              </w:rPr>
            </w:pPr>
          </w:p>
        </w:tc>
      </w:tr>
      <w:tr w14:paraId="5B071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52" w:type="dxa"/>
            <w:noWrap w:val="0"/>
            <w:vAlign w:val="center"/>
          </w:tcPr>
          <w:p w14:paraId="6B998185">
            <w:pPr>
              <w:spacing w:before="179"/>
              <w:ind w:left="323"/>
              <w:jc w:val="center"/>
              <w:rPr>
                <w:rFonts w:ascii="等线 Light" w:hAnsi="等线 Light" w:eastAsia="等线 Light" w:cs="等线 Light"/>
                <w:color w:val="auto"/>
                <w:sz w:val="24"/>
              </w:rPr>
            </w:pPr>
          </w:p>
          <w:p w14:paraId="6E289E18">
            <w:pPr>
              <w:pStyle w:val="4"/>
              <w:rPr>
                <w:rFonts w:hint="eastAsia"/>
                <w:color w:val="auto"/>
              </w:rPr>
            </w:pPr>
          </w:p>
        </w:tc>
        <w:tc>
          <w:tcPr>
            <w:tcW w:w="1843" w:type="dxa"/>
            <w:noWrap w:val="0"/>
            <w:vAlign w:val="center"/>
          </w:tcPr>
          <w:p w14:paraId="00029E10">
            <w:pPr>
              <w:pStyle w:val="17"/>
              <w:widowControl w:val="0"/>
              <w:adjustRightInd w:val="0"/>
              <w:snapToGrid w:val="0"/>
              <w:spacing w:before="0" w:beforeAutospacing="0" w:after="0" w:afterAutospacing="0" w:line="360" w:lineRule="auto"/>
              <w:jc w:val="center"/>
              <w:rPr>
                <w:rFonts w:hint="eastAsia" w:cs="宋体"/>
                <w:color w:val="auto"/>
                <w:sz w:val="24"/>
                <w:szCs w:val="24"/>
              </w:rPr>
            </w:pPr>
          </w:p>
        </w:tc>
        <w:tc>
          <w:tcPr>
            <w:tcW w:w="992" w:type="dxa"/>
            <w:noWrap w:val="0"/>
            <w:vAlign w:val="center"/>
          </w:tcPr>
          <w:p w14:paraId="1370FC24">
            <w:pPr>
              <w:pStyle w:val="17"/>
              <w:widowControl w:val="0"/>
              <w:adjustRightInd w:val="0"/>
              <w:snapToGrid w:val="0"/>
              <w:spacing w:before="0" w:beforeAutospacing="0" w:after="0" w:afterAutospacing="0"/>
              <w:jc w:val="center"/>
              <w:rPr>
                <w:rFonts w:ascii="仿宋" w:hAnsi="仿宋" w:eastAsia="仿宋" w:cs="仿宋"/>
                <w:color w:val="auto"/>
                <w:sz w:val="24"/>
                <w:szCs w:val="24"/>
              </w:rPr>
            </w:pPr>
          </w:p>
        </w:tc>
        <w:tc>
          <w:tcPr>
            <w:tcW w:w="651" w:type="dxa"/>
            <w:noWrap w:val="0"/>
            <w:vAlign w:val="center"/>
          </w:tcPr>
          <w:p w14:paraId="0FEDF112">
            <w:pPr>
              <w:pStyle w:val="17"/>
              <w:widowControl w:val="0"/>
              <w:adjustRightInd w:val="0"/>
              <w:snapToGrid w:val="0"/>
              <w:spacing w:before="0" w:beforeAutospacing="0" w:after="0" w:afterAutospacing="0"/>
              <w:jc w:val="center"/>
              <w:rPr>
                <w:color w:val="auto"/>
                <w:sz w:val="24"/>
                <w:szCs w:val="24"/>
              </w:rPr>
            </w:pPr>
          </w:p>
        </w:tc>
        <w:tc>
          <w:tcPr>
            <w:tcW w:w="850" w:type="dxa"/>
            <w:noWrap w:val="0"/>
            <w:vAlign w:val="top"/>
          </w:tcPr>
          <w:p w14:paraId="1E2DAAF9">
            <w:pPr>
              <w:pStyle w:val="17"/>
              <w:widowControl w:val="0"/>
              <w:adjustRightInd w:val="0"/>
              <w:snapToGrid w:val="0"/>
              <w:spacing w:before="0" w:beforeAutospacing="0" w:after="0" w:afterAutospacing="0"/>
              <w:jc w:val="center"/>
              <w:rPr>
                <w:color w:val="auto"/>
                <w:sz w:val="24"/>
                <w:szCs w:val="24"/>
              </w:rPr>
            </w:pPr>
          </w:p>
        </w:tc>
        <w:tc>
          <w:tcPr>
            <w:tcW w:w="851" w:type="dxa"/>
            <w:noWrap w:val="0"/>
            <w:vAlign w:val="center"/>
          </w:tcPr>
          <w:p w14:paraId="7DA3D1A8">
            <w:pPr>
              <w:pStyle w:val="17"/>
              <w:widowControl w:val="0"/>
              <w:adjustRightInd w:val="0"/>
              <w:snapToGrid w:val="0"/>
              <w:spacing w:before="0" w:beforeAutospacing="0" w:after="0" w:afterAutospacing="0"/>
              <w:jc w:val="center"/>
              <w:rPr>
                <w:color w:val="auto"/>
                <w:sz w:val="24"/>
                <w:szCs w:val="24"/>
              </w:rPr>
            </w:pPr>
          </w:p>
        </w:tc>
        <w:tc>
          <w:tcPr>
            <w:tcW w:w="1385" w:type="dxa"/>
            <w:noWrap w:val="0"/>
            <w:vAlign w:val="center"/>
          </w:tcPr>
          <w:p w14:paraId="7D5F50A4">
            <w:pPr>
              <w:ind w:left="-107" w:leftChars="-51" w:right="-107" w:rightChars="-51"/>
              <w:jc w:val="center"/>
              <w:rPr>
                <w:rFonts w:ascii="宋体" w:hAnsi="宋体"/>
                <w:color w:val="auto"/>
                <w:sz w:val="24"/>
              </w:rPr>
            </w:pPr>
          </w:p>
        </w:tc>
        <w:tc>
          <w:tcPr>
            <w:tcW w:w="1153" w:type="dxa"/>
            <w:noWrap w:val="0"/>
            <w:vAlign w:val="center"/>
          </w:tcPr>
          <w:p w14:paraId="65429E6D">
            <w:pPr>
              <w:jc w:val="center"/>
              <w:rPr>
                <w:rFonts w:ascii="宋体" w:hAnsi="宋体"/>
                <w:color w:val="auto"/>
                <w:sz w:val="24"/>
              </w:rPr>
            </w:pPr>
          </w:p>
        </w:tc>
        <w:tc>
          <w:tcPr>
            <w:tcW w:w="1049" w:type="dxa"/>
            <w:noWrap w:val="0"/>
            <w:vAlign w:val="center"/>
          </w:tcPr>
          <w:p w14:paraId="3984B84E">
            <w:pPr>
              <w:jc w:val="center"/>
              <w:rPr>
                <w:rFonts w:ascii="宋体" w:hAnsi="宋体"/>
                <w:color w:val="auto"/>
                <w:sz w:val="24"/>
              </w:rPr>
            </w:pPr>
          </w:p>
        </w:tc>
      </w:tr>
      <w:tr w14:paraId="3844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52" w:type="dxa"/>
            <w:noWrap w:val="0"/>
            <w:vAlign w:val="center"/>
          </w:tcPr>
          <w:p w14:paraId="1038EC61">
            <w:pPr>
              <w:spacing w:before="179"/>
              <w:ind w:left="323"/>
              <w:jc w:val="center"/>
              <w:rPr>
                <w:rFonts w:hint="eastAsia" w:ascii="等线 Light" w:hAnsi="等线 Light" w:eastAsia="等线 Light" w:cs="等线 Light"/>
                <w:color w:val="auto"/>
                <w:sz w:val="24"/>
              </w:rPr>
            </w:pPr>
          </w:p>
        </w:tc>
        <w:tc>
          <w:tcPr>
            <w:tcW w:w="1843" w:type="dxa"/>
            <w:noWrap w:val="0"/>
            <w:vAlign w:val="center"/>
          </w:tcPr>
          <w:p w14:paraId="480D57DA">
            <w:pPr>
              <w:pStyle w:val="17"/>
              <w:widowControl w:val="0"/>
              <w:adjustRightInd w:val="0"/>
              <w:snapToGrid w:val="0"/>
              <w:spacing w:before="0" w:beforeAutospacing="0" w:after="0" w:afterAutospacing="0" w:line="360" w:lineRule="auto"/>
              <w:jc w:val="center"/>
              <w:rPr>
                <w:rFonts w:hint="eastAsia" w:cs="宋体"/>
                <w:color w:val="auto"/>
                <w:sz w:val="24"/>
                <w:szCs w:val="24"/>
              </w:rPr>
            </w:pPr>
          </w:p>
        </w:tc>
        <w:tc>
          <w:tcPr>
            <w:tcW w:w="992" w:type="dxa"/>
            <w:noWrap w:val="0"/>
            <w:vAlign w:val="center"/>
          </w:tcPr>
          <w:p w14:paraId="5A6E5959">
            <w:pPr>
              <w:pStyle w:val="17"/>
              <w:widowControl w:val="0"/>
              <w:adjustRightInd w:val="0"/>
              <w:snapToGrid w:val="0"/>
              <w:spacing w:before="0" w:beforeAutospacing="0" w:after="0" w:afterAutospacing="0"/>
              <w:jc w:val="center"/>
              <w:rPr>
                <w:rFonts w:ascii="仿宋" w:hAnsi="仿宋" w:eastAsia="仿宋" w:cs="仿宋"/>
                <w:color w:val="auto"/>
                <w:sz w:val="24"/>
                <w:szCs w:val="24"/>
              </w:rPr>
            </w:pPr>
          </w:p>
        </w:tc>
        <w:tc>
          <w:tcPr>
            <w:tcW w:w="651" w:type="dxa"/>
            <w:noWrap w:val="0"/>
            <w:vAlign w:val="center"/>
          </w:tcPr>
          <w:p w14:paraId="6D6E903E">
            <w:pPr>
              <w:pStyle w:val="17"/>
              <w:widowControl w:val="0"/>
              <w:adjustRightInd w:val="0"/>
              <w:snapToGrid w:val="0"/>
              <w:spacing w:before="0" w:beforeAutospacing="0" w:after="0" w:afterAutospacing="0"/>
              <w:jc w:val="center"/>
              <w:rPr>
                <w:color w:val="auto"/>
                <w:sz w:val="24"/>
                <w:szCs w:val="24"/>
              </w:rPr>
            </w:pPr>
          </w:p>
        </w:tc>
        <w:tc>
          <w:tcPr>
            <w:tcW w:w="850" w:type="dxa"/>
            <w:noWrap w:val="0"/>
            <w:vAlign w:val="top"/>
          </w:tcPr>
          <w:p w14:paraId="382B6507">
            <w:pPr>
              <w:pStyle w:val="17"/>
              <w:widowControl w:val="0"/>
              <w:adjustRightInd w:val="0"/>
              <w:snapToGrid w:val="0"/>
              <w:spacing w:before="0" w:beforeAutospacing="0" w:after="0" w:afterAutospacing="0"/>
              <w:jc w:val="center"/>
              <w:rPr>
                <w:color w:val="auto"/>
                <w:sz w:val="24"/>
                <w:szCs w:val="24"/>
              </w:rPr>
            </w:pPr>
          </w:p>
        </w:tc>
        <w:tc>
          <w:tcPr>
            <w:tcW w:w="851" w:type="dxa"/>
            <w:noWrap w:val="0"/>
            <w:vAlign w:val="center"/>
          </w:tcPr>
          <w:p w14:paraId="1CB1B6B9">
            <w:pPr>
              <w:pStyle w:val="17"/>
              <w:widowControl w:val="0"/>
              <w:adjustRightInd w:val="0"/>
              <w:snapToGrid w:val="0"/>
              <w:spacing w:before="0" w:beforeAutospacing="0" w:after="0" w:afterAutospacing="0"/>
              <w:jc w:val="center"/>
              <w:rPr>
                <w:color w:val="auto"/>
                <w:sz w:val="24"/>
                <w:szCs w:val="24"/>
              </w:rPr>
            </w:pPr>
          </w:p>
        </w:tc>
        <w:tc>
          <w:tcPr>
            <w:tcW w:w="1385" w:type="dxa"/>
            <w:noWrap w:val="0"/>
            <w:vAlign w:val="center"/>
          </w:tcPr>
          <w:p w14:paraId="5E938F7F">
            <w:pPr>
              <w:ind w:left="-107" w:leftChars="-51" w:right="-107" w:rightChars="-51"/>
              <w:jc w:val="center"/>
              <w:rPr>
                <w:rFonts w:ascii="宋体" w:hAnsi="宋体"/>
                <w:color w:val="auto"/>
                <w:sz w:val="24"/>
              </w:rPr>
            </w:pPr>
          </w:p>
        </w:tc>
        <w:tc>
          <w:tcPr>
            <w:tcW w:w="1153" w:type="dxa"/>
            <w:noWrap w:val="0"/>
            <w:vAlign w:val="center"/>
          </w:tcPr>
          <w:p w14:paraId="59DCF400">
            <w:pPr>
              <w:jc w:val="center"/>
              <w:rPr>
                <w:rFonts w:ascii="宋体" w:hAnsi="宋体"/>
                <w:color w:val="auto"/>
                <w:sz w:val="24"/>
              </w:rPr>
            </w:pPr>
          </w:p>
        </w:tc>
        <w:tc>
          <w:tcPr>
            <w:tcW w:w="1049" w:type="dxa"/>
            <w:noWrap w:val="0"/>
            <w:vAlign w:val="center"/>
          </w:tcPr>
          <w:p w14:paraId="6F3A8C7D">
            <w:pPr>
              <w:jc w:val="center"/>
              <w:rPr>
                <w:rFonts w:ascii="宋体" w:hAnsi="宋体"/>
                <w:color w:val="auto"/>
                <w:sz w:val="24"/>
              </w:rPr>
            </w:pPr>
          </w:p>
        </w:tc>
      </w:tr>
      <w:tr w14:paraId="26AA9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752" w:type="dxa"/>
            <w:noWrap w:val="0"/>
            <w:vAlign w:val="center"/>
          </w:tcPr>
          <w:p w14:paraId="77726556">
            <w:pPr>
              <w:spacing w:before="179" w:line="191" w:lineRule="auto"/>
              <w:ind w:left="323"/>
              <w:rPr>
                <w:rFonts w:ascii="仿宋" w:hAnsi="仿宋" w:eastAsia="仿宋" w:cs="仿宋"/>
                <w:color w:val="auto"/>
                <w:sz w:val="24"/>
              </w:rPr>
            </w:pPr>
          </w:p>
        </w:tc>
        <w:tc>
          <w:tcPr>
            <w:tcW w:w="1843" w:type="dxa"/>
            <w:noWrap w:val="0"/>
            <w:vAlign w:val="center"/>
          </w:tcPr>
          <w:p w14:paraId="60AA030E">
            <w:pPr>
              <w:pStyle w:val="17"/>
              <w:widowControl w:val="0"/>
              <w:adjustRightInd w:val="0"/>
              <w:snapToGrid w:val="0"/>
              <w:spacing w:before="0" w:beforeAutospacing="0" w:after="0" w:afterAutospacing="0" w:line="360" w:lineRule="auto"/>
              <w:jc w:val="center"/>
              <w:rPr>
                <w:color w:val="auto"/>
                <w:sz w:val="24"/>
                <w:szCs w:val="24"/>
              </w:rPr>
            </w:pPr>
            <w:r>
              <w:rPr>
                <w:rFonts w:hint="eastAsia"/>
                <w:color w:val="auto"/>
                <w:sz w:val="24"/>
                <w:szCs w:val="24"/>
              </w:rPr>
              <w:t>合计</w:t>
            </w:r>
          </w:p>
        </w:tc>
        <w:tc>
          <w:tcPr>
            <w:tcW w:w="992" w:type="dxa"/>
            <w:noWrap w:val="0"/>
            <w:vAlign w:val="center"/>
          </w:tcPr>
          <w:p w14:paraId="5F8A6D97">
            <w:pPr>
              <w:pStyle w:val="17"/>
              <w:widowControl w:val="0"/>
              <w:adjustRightInd w:val="0"/>
              <w:snapToGrid w:val="0"/>
              <w:spacing w:before="0" w:beforeAutospacing="0" w:after="0" w:afterAutospacing="0" w:line="360" w:lineRule="auto"/>
              <w:jc w:val="center"/>
              <w:rPr>
                <w:rFonts w:ascii="仿宋" w:hAnsi="仿宋" w:eastAsia="仿宋" w:cs="仿宋"/>
                <w:color w:val="auto"/>
                <w:sz w:val="24"/>
                <w:szCs w:val="24"/>
              </w:rPr>
            </w:pPr>
          </w:p>
        </w:tc>
        <w:tc>
          <w:tcPr>
            <w:tcW w:w="651" w:type="dxa"/>
            <w:noWrap w:val="0"/>
            <w:vAlign w:val="center"/>
          </w:tcPr>
          <w:p w14:paraId="08F72328">
            <w:pPr>
              <w:pStyle w:val="17"/>
              <w:widowControl w:val="0"/>
              <w:adjustRightInd w:val="0"/>
              <w:snapToGrid w:val="0"/>
              <w:spacing w:before="0" w:beforeAutospacing="0" w:after="0" w:afterAutospacing="0" w:line="360" w:lineRule="auto"/>
              <w:jc w:val="center"/>
              <w:rPr>
                <w:color w:val="auto"/>
                <w:sz w:val="24"/>
                <w:szCs w:val="24"/>
              </w:rPr>
            </w:pPr>
          </w:p>
        </w:tc>
        <w:tc>
          <w:tcPr>
            <w:tcW w:w="850" w:type="dxa"/>
            <w:noWrap w:val="0"/>
            <w:vAlign w:val="top"/>
          </w:tcPr>
          <w:p w14:paraId="60C08695">
            <w:pPr>
              <w:pStyle w:val="17"/>
              <w:widowControl w:val="0"/>
              <w:adjustRightInd w:val="0"/>
              <w:snapToGrid w:val="0"/>
              <w:spacing w:before="0" w:beforeAutospacing="0" w:after="0" w:afterAutospacing="0" w:line="360" w:lineRule="auto"/>
              <w:jc w:val="center"/>
              <w:rPr>
                <w:color w:val="auto"/>
                <w:sz w:val="24"/>
                <w:szCs w:val="24"/>
              </w:rPr>
            </w:pPr>
          </w:p>
        </w:tc>
        <w:tc>
          <w:tcPr>
            <w:tcW w:w="851" w:type="dxa"/>
            <w:noWrap w:val="0"/>
            <w:vAlign w:val="center"/>
          </w:tcPr>
          <w:p w14:paraId="16720B3C">
            <w:pPr>
              <w:pStyle w:val="17"/>
              <w:widowControl w:val="0"/>
              <w:adjustRightInd w:val="0"/>
              <w:snapToGrid w:val="0"/>
              <w:spacing w:before="0" w:beforeAutospacing="0" w:after="0" w:afterAutospacing="0" w:line="360" w:lineRule="auto"/>
              <w:jc w:val="center"/>
              <w:rPr>
                <w:color w:val="auto"/>
                <w:sz w:val="24"/>
                <w:szCs w:val="24"/>
              </w:rPr>
            </w:pPr>
          </w:p>
        </w:tc>
        <w:tc>
          <w:tcPr>
            <w:tcW w:w="1385" w:type="dxa"/>
            <w:noWrap w:val="0"/>
            <w:vAlign w:val="center"/>
          </w:tcPr>
          <w:p w14:paraId="172CD3B2">
            <w:pPr>
              <w:ind w:left="-107" w:leftChars="-51" w:right="-107" w:rightChars="-51"/>
              <w:jc w:val="center"/>
              <w:rPr>
                <w:rFonts w:ascii="宋体" w:hAnsi="宋体"/>
                <w:color w:val="auto"/>
                <w:szCs w:val="21"/>
              </w:rPr>
            </w:pPr>
          </w:p>
        </w:tc>
        <w:tc>
          <w:tcPr>
            <w:tcW w:w="1153" w:type="dxa"/>
            <w:noWrap w:val="0"/>
            <w:vAlign w:val="center"/>
          </w:tcPr>
          <w:p w14:paraId="30EB03BE">
            <w:pPr>
              <w:jc w:val="center"/>
              <w:rPr>
                <w:rFonts w:ascii="等线 Light" w:hAnsi="等线 Light" w:eastAsia="等线 Light" w:cs="等线 Light"/>
                <w:color w:val="auto"/>
                <w:spacing w:val="9"/>
                <w:sz w:val="24"/>
              </w:rPr>
            </w:pPr>
          </w:p>
        </w:tc>
        <w:tc>
          <w:tcPr>
            <w:tcW w:w="1049" w:type="dxa"/>
            <w:noWrap w:val="0"/>
            <w:vAlign w:val="center"/>
          </w:tcPr>
          <w:p w14:paraId="28A57CB6">
            <w:pPr>
              <w:jc w:val="center"/>
              <w:rPr>
                <w:rFonts w:ascii="等线 Light" w:hAnsi="等线 Light" w:eastAsia="等线 Light" w:cs="等线 Light"/>
                <w:color w:val="auto"/>
                <w:spacing w:val="9"/>
                <w:sz w:val="24"/>
              </w:rPr>
            </w:pPr>
          </w:p>
        </w:tc>
      </w:tr>
    </w:tbl>
    <w:p w14:paraId="19226207">
      <w:pPr>
        <w:rPr>
          <w:rFonts w:hint="eastAsia"/>
          <w:vanish/>
          <w:color w:val="auto"/>
        </w:rPr>
      </w:pPr>
    </w:p>
    <w:p w14:paraId="5DEC432F">
      <w:pPr>
        <w:pStyle w:val="4"/>
        <w:rPr>
          <w:color w:val="auto"/>
        </w:rPr>
      </w:pPr>
    </w:p>
    <w:tbl>
      <w:tblPr>
        <w:tblStyle w:val="19"/>
        <w:tblpPr w:leftFromText="180" w:rightFromText="180" w:vertAnchor="text" w:horzAnchor="margin" w:tblpXSpec="center" w:tblpY="3"/>
        <w:tblOverlap w:val="never"/>
        <w:tblW w:w="9564"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564"/>
      </w:tblGrid>
      <w:tr w14:paraId="3A0457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9564" w:type="dxa"/>
            <w:noWrap w:val="0"/>
            <w:vAlign w:val="center"/>
          </w:tcPr>
          <w:p w14:paraId="4F31B2F0">
            <w:pPr>
              <w:pStyle w:val="17"/>
              <w:widowControl w:val="0"/>
              <w:adjustRightInd w:val="0"/>
              <w:snapToGrid w:val="0"/>
              <w:spacing w:before="0" w:beforeAutospacing="0" w:after="0" w:afterAutospacing="0" w:line="360" w:lineRule="auto"/>
              <w:rPr>
                <w:color w:val="auto"/>
                <w:sz w:val="24"/>
                <w:szCs w:val="24"/>
              </w:rPr>
            </w:pPr>
            <w:r>
              <w:rPr>
                <w:rFonts w:hint="eastAsia"/>
                <w:color w:val="auto"/>
                <w:sz w:val="24"/>
                <w:szCs w:val="24"/>
              </w:rPr>
              <w:t xml:space="preserve">付款方式： </w:t>
            </w:r>
          </w:p>
        </w:tc>
      </w:tr>
      <w:tr w14:paraId="51FA67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9564" w:type="dxa"/>
            <w:noWrap w:val="0"/>
            <w:vAlign w:val="center"/>
          </w:tcPr>
          <w:p w14:paraId="4502C136">
            <w:pPr>
              <w:pStyle w:val="17"/>
              <w:widowControl w:val="0"/>
              <w:adjustRightInd w:val="0"/>
              <w:snapToGrid w:val="0"/>
              <w:spacing w:before="0" w:beforeAutospacing="0" w:after="0" w:afterAutospacing="0" w:line="360" w:lineRule="auto"/>
              <w:rPr>
                <w:color w:val="auto"/>
                <w:sz w:val="24"/>
                <w:szCs w:val="24"/>
              </w:rPr>
            </w:pPr>
            <w:r>
              <w:rPr>
                <w:rFonts w:hint="eastAsia"/>
                <w:color w:val="auto"/>
                <w:sz w:val="24"/>
                <w:szCs w:val="24"/>
              </w:rPr>
              <w:t>交货日期：</w:t>
            </w:r>
          </w:p>
        </w:tc>
      </w:tr>
      <w:tr w14:paraId="5F1CBA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9564" w:type="dxa"/>
            <w:noWrap w:val="0"/>
            <w:vAlign w:val="center"/>
          </w:tcPr>
          <w:p w14:paraId="51D9E675">
            <w:pPr>
              <w:pStyle w:val="17"/>
              <w:widowControl w:val="0"/>
              <w:adjustRightInd w:val="0"/>
              <w:snapToGrid w:val="0"/>
              <w:spacing w:before="0" w:beforeAutospacing="0" w:after="0" w:afterAutospacing="0" w:line="360" w:lineRule="auto"/>
              <w:rPr>
                <w:color w:val="auto"/>
                <w:sz w:val="24"/>
                <w:szCs w:val="24"/>
              </w:rPr>
            </w:pPr>
            <w:r>
              <w:rPr>
                <w:rFonts w:hint="eastAsia"/>
                <w:color w:val="auto"/>
                <w:sz w:val="24"/>
                <w:szCs w:val="24"/>
              </w:rPr>
              <w:t>备注：</w:t>
            </w:r>
          </w:p>
        </w:tc>
      </w:tr>
    </w:tbl>
    <w:p w14:paraId="0C6D3D15">
      <w:pPr>
        <w:pStyle w:val="17"/>
        <w:widowControl w:val="0"/>
        <w:adjustRightInd w:val="0"/>
        <w:snapToGrid w:val="0"/>
        <w:spacing w:before="0" w:beforeAutospacing="0" w:after="0" w:afterAutospacing="0" w:line="360" w:lineRule="auto"/>
        <w:rPr>
          <w:rFonts w:hint="eastAsia" w:cs="仿宋_GB2312"/>
          <w:color w:val="auto"/>
          <w:sz w:val="24"/>
          <w:szCs w:val="24"/>
        </w:rPr>
      </w:pPr>
    </w:p>
    <w:p w14:paraId="51D72F08">
      <w:pPr>
        <w:pStyle w:val="17"/>
        <w:widowControl w:val="0"/>
        <w:adjustRightInd w:val="0"/>
        <w:snapToGrid w:val="0"/>
        <w:spacing w:before="0" w:beforeAutospacing="0" w:after="0" w:afterAutospacing="0" w:line="360" w:lineRule="auto"/>
        <w:rPr>
          <w:rFonts w:hint="eastAsia"/>
          <w:color w:val="auto"/>
          <w:sz w:val="24"/>
          <w:szCs w:val="24"/>
        </w:rPr>
      </w:pPr>
      <w:r>
        <w:rPr>
          <w:rFonts w:hint="eastAsia"/>
          <w:color w:val="auto"/>
          <w:sz w:val="24"/>
          <w:szCs w:val="24"/>
        </w:rPr>
        <w:t>投标人授权代表（签字）：                            投标人（盖章）：</w:t>
      </w:r>
      <w:r>
        <w:rPr>
          <w:rFonts w:hint="eastAsia"/>
          <w:color w:val="auto"/>
          <w:sz w:val="24"/>
          <w:szCs w:val="24"/>
          <w:u w:val="single"/>
        </w:rPr>
        <w:t xml:space="preserve">                                    </w:t>
      </w:r>
    </w:p>
    <w:p w14:paraId="25638420">
      <w:pPr>
        <w:pStyle w:val="17"/>
        <w:widowControl w:val="0"/>
        <w:adjustRightInd w:val="0"/>
        <w:snapToGrid w:val="0"/>
        <w:spacing w:before="0" w:beforeAutospacing="0" w:after="0" w:afterAutospacing="0" w:line="360" w:lineRule="auto"/>
        <w:ind w:firstLine="480" w:firstLineChars="200"/>
        <w:rPr>
          <w:rFonts w:hint="eastAsia"/>
          <w:color w:val="auto"/>
          <w:sz w:val="24"/>
          <w:szCs w:val="24"/>
        </w:rPr>
      </w:pPr>
      <w:r>
        <w:rPr>
          <w:rFonts w:hint="eastAsia"/>
          <w:color w:val="auto"/>
          <w:sz w:val="24"/>
          <w:szCs w:val="24"/>
        </w:rPr>
        <w:t>注：1、此表应按投标人须知的规定密封单独提交；</w:t>
      </w:r>
    </w:p>
    <w:p w14:paraId="36E70DA0">
      <w:pPr>
        <w:pStyle w:val="17"/>
        <w:widowControl w:val="0"/>
        <w:numPr>
          <w:ilvl w:val="0"/>
          <w:numId w:val="6"/>
        </w:numPr>
        <w:adjustRightInd w:val="0"/>
        <w:snapToGrid w:val="0"/>
        <w:spacing w:before="0" w:beforeAutospacing="0" w:after="0" w:afterAutospacing="0" w:line="360" w:lineRule="auto"/>
        <w:rPr>
          <w:rFonts w:hint="eastAsia"/>
          <w:color w:val="auto"/>
          <w:sz w:val="24"/>
          <w:szCs w:val="24"/>
        </w:rPr>
      </w:pPr>
      <w:r>
        <w:rPr>
          <w:rFonts w:hint="eastAsia"/>
          <w:color w:val="auto"/>
          <w:sz w:val="24"/>
          <w:szCs w:val="24"/>
        </w:rPr>
        <w:t>目的地含税到货价；</w:t>
      </w:r>
    </w:p>
    <w:p w14:paraId="3AF61DCA">
      <w:pPr>
        <w:pStyle w:val="17"/>
        <w:widowControl w:val="0"/>
        <w:numPr>
          <w:ilvl w:val="0"/>
          <w:numId w:val="6"/>
        </w:numPr>
        <w:tabs>
          <w:tab w:val="left" w:pos="5841"/>
        </w:tabs>
        <w:adjustRightInd w:val="0"/>
        <w:snapToGrid w:val="0"/>
        <w:spacing w:before="0" w:beforeAutospacing="0" w:after="0" w:afterAutospacing="0" w:line="360" w:lineRule="auto"/>
        <w:rPr>
          <w:color w:val="auto"/>
          <w:sz w:val="24"/>
          <w:szCs w:val="24"/>
        </w:rPr>
      </w:pPr>
      <w:r>
        <w:rPr>
          <w:rFonts w:hint="eastAsia"/>
          <w:color w:val="auto"/>
          <w:sz w:val="24"/>
          <w:szCs w:val="24"/>
        </w:rPr>
        <w:t>谈判总价为分项报价表的价格汇总（含税及税率)。</w:t>
      </w:r>
    </w:p>
    <w:p w14:paraId="1F2D609E">
      <w:pPr>
        <w:pStyle w:val="17"/>
        <w:widowControl w:val="0"/>
        <w:tabs>
          <w:tab w:val="left" w:pos="5841"/>
        </w:tabs>
        <w:adjustRightInd w:val="0"/>
        <w:snapToGrid w:val="0"/>
        <w:spacing w:before="0" w:beforeAutospacing="0" w:after="0" w:afterAutospacing="0" w:line="360" w:lineRule="auto"/>
        <w:ind w:left="960"/>
        <w:rPr>
          <w:rFonts w:hint="eastAsia"/>
          <w:color w:val="auto"/>
          <w:sz w:val="24"/>
          <w:szCs w:val="24"/>
        </w:rPr>
      </w:pPr>
      <w:r>
        <w:rPr>
          <w:rFonts w:hint="eastAsia"/>
          <w:color w:val="auto"/>
          <w:sz w:val="24"/>
          <w:szCs w:val="24"/>
        </w:rPr>
        <w:t>4、其他优惠条件。</w:t>
      </w:r>
    </w:p>
    <w:p w14:paraId="7E815EA6">
      <w:pPr>
        <w:pStyle w:val="17"/>
        <w:widowControl w:val="0"/>
        <w:tabs>
          <w:tab w:val="left" w:pos="5841"/>
        </w:tabs>
        <w:adjustRightInd w:val="0"/>
        <w:snapToGrid w:val="0"/>
        <w:spacing w:before="0" w:beforeAutospacing="0" w:after="0" w:afterAutospacing="0" w:line="360" w:lineRule="auto"/>
        <w:ind w:left="960"/>
        <w:rPr>
          <w:color w:val="auto"/>
          <w:sz w:val="24"/>
          <w:szCs w:val="24"/>
        </w:rPr>
      </w:pPr>
      <w:r>
        <w:rPr>
          <w:rFonts w:hint="eastAsia"/>
          <w:color w:val="auto"/>
          <w:sz w:val="24"/>
          <w:szCs w:val="24"/>
        </w:rPr>
        <w:t>5、质保承诺。</w:t>
      </w:r>
    </w:p>
    <w:p w14:paraId="22DC35A2">
      <w:pPr>
        <w:pStyle w:val="17"/>
        <w:widowControl w:val="0"/>
        <w:tabs>
          <w:tab w:val="left" w:pos="5841"/>
        </w:tabs>
        <w:adjustRightInd w:val="0"/>
        <w:snapToGrid w:val="0"/>
        <w:spacing w:before="0" w:beforeAutospacing="0" w:after="0" w:afterAutospacing="0" w:line="360" w:lineRule="auto"/>
        <w:ind w:left="960"/>
        <w:rPr>
          <w:color w:val="auto"/>
          <w:sz w:val="24"/>
          <w:szCs w:val="24"/>
        </w:rPr>
      </w:pPr>
    </w:p>
    <w:p w14:paraId="1B05B1DF">
      <w:pPr>
        <w:pStyle w:val="17"/>
        <w:widowControl w:val="0"/>
        <w:tabs>
          <w:tab w:val="left" w:pos="5841"/>
        </w:tabs>
        <w:adjustRightInd w:val="0"/>
        <w:snapToGrid w:val="0"/>
        <w:spacing w:before="0" w:beforeAutospacing="0" w:after="0" w:afterAutospacing="0" w:line="360" w:lineRule="auto"/>
        <w:ind w:left="960"/>
        <w:rPr>
          <w:color w:val="auto"/>
          <w:sz w:val="24"/>
          <w:szCs w:val="24"/>
        </w:rPr>
      </w:pPr>
    </w:p>
    <w:p w14:paraId="70DF054F">
      <w:pPr>
        <w:pStyle w:val="17"/>
        <w:widowControl w:val="0"/>
        <w:tabs>
          <w:tab w:val="left" w:pos="5841"/>
        </w:tabs>
        <w:adjustRightInd w:val="0"/>
        <w:snapToGrid w:val="0"/>
        <w:spacing w:before="0" w:beforeAutospacing="0" w:after="0" w:afterAutospacing="0" w:line="360" w:lineRule="auto"/>
        <w:ind w:left="960"/>
        <w:rPr>
          <w:rFonts w:hint="eastAsia"/>
          <w:color w:val="auto"/>
          <w:sz w:val="24"/>
          <w:szCs w:val="24"/>
        </w:rPr>
      </w:pPr>
    </w:p>
    <w:p w14:paraId="7BAC7F3E">
      <w:pPr>
        <w:pStyle w:val="17"/>
        <w:widowControl w:val="0"/>
        <w:tabs>
          <w:tab w:val="left" w:pos="5841"/>
        </w:tabs>
        <w:adjustRightInd w:val="0"/>
        <w:snapToGrid w:val="0"/>
        <w:spacing w:before="0" w:beforeAutospacing="0" w:after="0" w:afterAutospacing="0" w:line="360" w:lineRule="auto"/>
        <w:ind w:left="960"/>
        <w:rPr>
          <w:color w:val="auto"/>
          <w:sz w:val="24"/>
          <w:szCs w:val="24"/>
        </w:rPr>
      </w:pPr>
    </w:p>
    <w:p w14:paraId="1EE0D24E">
      <w:pPr>
        <w:pStyle w:val="17"/>
        <w:widowControl w:val="0"/>
        <w:adjustRightInd w:val="0"/>
        <w:snapToGrid w:val="0"/>
        <w:spacing w:before="0" w:beforeAutospacing="0" w:after="0" w:afterAutospacing="0" w:line="360" w:lineRule="auto"/>
        <w:rPr>
          <w:rFonts w:cs="仿宋_GB2312"/>
          <w:b/>
          <w:color w:val="auto"/>
          <w:sz w:val="24"/>
          <w:szCs w:val="24"/>
        </w:rPr>
      </w:pPr>
      <w:bookmarkStart w:id="1" w:name="_Toc128151481"/>
      <w:r>
        <w:rPr>
          <w:rFonts w:hint="eastAsia" w:cs="仿宋_GB2312"/>
          <w:b/>
          <w:color w:val="auto"/>
          <w:sz w:val="24"/>
          <w:szCs w:val="24"/>
        </w:rPr>
        <w:t>四、投标保证金格式</w:t>
      </w:r>
      <w:bookmarkEnd w:id="1"/>
    </w:p>
    <w:p w14:paraId="24B6129A">
      <w:pPr>
        <w:pStyle w:val="17"/>
        <w:widowControl w:val="0"/>
        <w:adjustRightInd w:val="0"/>
        <w:snapToGrid w:val="0"/>
        <w:spacing w:before="0" w:beforeAutospacing="0" w:after="0" w:afterAutospacing="0" w:line="360" w:lineRule="auto"/>
        <w:rPr>
          <w:rFonts w:cs="仿宋_GB2312"/>
          <w:b/>
          <w:color w:val="auto"/>
          <w:sz w:val="24"/>
          <w:szCs w:val="24"/>
        </w:rPr>
      </w:pPr>
      <w:r>
        <w:rPr>
          <w:rFonts w:hint="eastAsia"/>
          <w:color w:val="auto"/>
          <w:sz w:val="24"/>
          <w:szCs w:val="24"/>
        </w:rPr>
        <w:t>附电汇底单复印件加盖投标人公章</w:t>
      </w:r>
    </w:p>
    <w:p w14:paraId="36B79DFE">
      <w:pPr>
        <w:pStyle w:val="17"/>
        <w:widowControl w:val="0"/>
        <w:adjustRightInd w:val="0"/>
        <w:snapToGrid w:val="0"/>
        <w:spacing w:before="0" w:beforeAutospacing="0" w:after="0" w:afterAutospacing="0" w:line="360" w:lineRule="auto"/>
        <w:rPr>
          <w:rFonts w:hint="eastAsia" w:cs="仿宋_GB2312"/>
          <w:b/>
          <w:color w:val="auto"/>
          <w:sz w:val="24"/>
          <w:szCs w:val="24"/>
        </w:rPr>
      </w:pPr>
    </w:p>
    <w:p w14:paraId="2F8F5597">
      <w:pPr>
        <w:pStyle w:val="17"/>
        <w:widowControl w:val="0"/>
        <w:adjustRightInd w:val="0"/>
        <w:snapToGrid w:val="0"/>
        <w:spacing w:before="0" w:beforeAutospacing="0" w:after="0" w:afterAutospacing="0" w:line="360" w:lineRule="auto"/>
        <w:rPr>
          <w:rFonts w:cs="仿宋_GB2312"/>
          <w:b/>
          <w:color w:val="auto"/>
          <w:sz w:val="24"/>
          <w:szCs w:val="24"/>
        </w:rPr>
      </w:pPr>
    </w:p>
    <w:p w14:paraId="018319B3">
      <w:pPr>
        <w:pStyle w:val="17"/>
        <w:widowControl w:val="0"/>
        <w:adjustRightInd w:val="0"/>
        <w:snapToGrid w:val="0"/>
        <w:spacing w:before="0" w:beforeAutospacing="0" w:after="0" w:afterAutospacing="0" w:line="360" w:lineRule="auto"/>
        <w:rPr>
          <w:rFonts w:hint="eastAsia" w:cs="仿宋_GB2312"/>
          <w:b/>
          <w:color w:val="auto"/>
          <w:sz w:val="24"/>
          <w:szCs w:val="24"/>
        </w:rPr>
      </w:pPr>
      <w:r>
        <w:rPr>
          <w:rFonts w:hint="eastAsia" w:cs="仿宋_GB2312"/>
          <w:b/>
          <w:bCs/>
          <w:color w:val="auto"/>
          <w:sz w:val="24"/>
          <w:szCs w:val="24"/>
        </w:rPr>
        <w:t>五、</w:t>
      </w:r>
      <w:r>
        <w:rPr>
          <w:rFonts w:hint="eastAsia" w:cs="仿宋_GB2312"/>
          <w:b/>
          <w:color w:val="auto"/>
          <w:sz w:val="24"/>
          <w:szCs w:val="24"/>
        </w:rPr>
        <w:t>资质证件</w:t>
      </w:r>
    </w:p>
    <w:p w14:paraId="73BE028A">
      <w:pPr>
        <w:pStyle w:val="17"/>
        <w:widowControl w:val="0"/>
        <w:adjustRightInd w:val="0"/>
        <w:snapToGrid w:val="0"/>
        <w:spacing w:before="0" w:beforeAutospacing="0" w:after="0" w:afterAutospacing="0" w:line="360" w:lineRule="auto"/>
        <w:ind w:firstLine="470" w:firstLineChars="196"/>
        <w:rPr>
          <w:color w:val="auto"/>
          <w:sz w:val="24"/>
          <w:szCs w:val="24"/>
        </w:rPr>
      </w:pPr>
      <w:r>
        <w:rPr>
          <w:rFonts w:hint="eastAsia" w:cs="仿宋_GB2312"/>
          <w:bCs/>
          <w:color w:val="auto"/>
          <w:sz w:val="24"/>
          <w:szCs w:val="24"/>
        </w:rPr>
        <w:t>投标人提供营业执照</w:t>
      </w:r>
      <w:r>
        <w:rPr>
          <w:rFonts w:hint="eastAsia" w:cs="仿宋_GB2312"/>
          <w:bCs/>
          <w:color w:val="auto"/>
          <w:sz w:val="24"/>
          <w:szCs w:val="24"/>
          <w:lang w:eastAsia="zh-CN"/>
        </w:rPr>
        <w:t>（</w:t>
      </w:r>
      <w:r>
        <w:rPr>
          <w:rFonts w:hint="eastAsia" w:cs="仿宋_GB2312"/>
          <w:bCs/>
          <w:color w:val="auto"/>
          <w:sz w:val="24"/>
          <w:szCs w:val="24"/>
        </w:rPr>
        <w:t>三证合一</w:t>
      </w:r>
      <w:r>
        <w:rPr>
          <w:rFonts w:hint="eastAsia" w:cs="仿宋_GB2312"/>
          <w:bCs/>
          <w:color w:val="auto"/>
          <w:sz w:val="24"/>
          <w:szCs w:val="24"/>
          <w:lang w:eastAsia="zh-CN"/>
        </w:rPr>
        <w:t>）</w:t>
      </w:r>
      <w:r>
        <w:rPr>
          <w:rFonts w:hint="eastAsia" w:cs="仿宋_GB2312"/>
          <w:bCs/>
          <w:color w:val="auto"/>
          <w:sz w:val="24"/>
          <w:szCs w:val="24"/>
        </w:rPr>
        <w:t>及相关资质证明有效证件</w:t>
      </w:r>
      <w:r>
        <w:rPr>
          <w:rFonts w:hint="eastAsia"/>
          <w:color w:val="auto"/>
          <w:sz w:val="24"/>
          <w:szCs w:val="24"/>
        </w:rPr>
        <w:t>。</w:t>
      </w:r>
    </w:p>
    <w:p w14:paraId="6AB059E4">
      <w:pPr>
        <w:pStyle w:val="17"/>
        <w:widowControl w:val="0"/>
        <w:adjustRightInd w:val="0"/>
        <w:snapToGrid w:val="0"/>
        <w:spacing w:before="0" w:beforeAutospacing="0" w:after="0" w:afterAutospacing="0" w:line="360" w:lineRule="auto"/>
        <w:ind w:firstLine="470" w:firstLineChars="196"/>
        <w:rPr>
          <w:rFonts w:hint="eastAsia" w:cs="仿宋_GB2312"/>
          <w:color w:val="auto"/>
          <w:sz w:val="24"/>
          <w:szCs w:val="24"/>
        </w:rPr>
      </w:pPr>
    </w:p>
    <w:p w14:paraId="05953501">
      <w:pPr>
        <w:pStyle w:val="17"/>
        <w:widowControl w:val="0"/>
        <w:adjustRightInd w:val="0"/>
        <w:snapToGrid w:val="0"/>
        <w:spacing w:before="0" w:beforeAutospacing="0" w:after="0" w:afterAutospacing="0" w:line="360" w:lineRule="auto"/>
        <w:rPr>
          <w:rFonts w:hint="eastAsia" w:cs="仿宋_GB2312"/>
          <w:b/>
          <w:bCs/>
          <w:color w:val="auto"/>
          <w:sz w:val="24"/>
          <w:szCs w:val="24"/>
        </w:rPr>
      </w:pPr>
      <w:r>
        <w:rPr>
          <w:rFonts w:hint="eastAsia" w:cs="仿宋_GB2312"/>
          <w:b/>
          <w:bCs/>
          <w:color w:val="auto"/>
          <w:sz w:val="24"/>
          <w:szCs w:val="24"/>
        </w:rPr>
        <w:t>六、 谈判物资报告</w:t>
      </w:r>
    </w:p>
    <w:p w14:paraId="3B364DB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1、谈判物资型号、规格、技术参数和说明；</w:t>
      </w:r>
    </w:p>
    <w:p w14:paraId="5529E4C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2、谈判物资的质量标准、检测标准、测试手段；</w:t>
      </w:r>
    </w:p>
    <w:p w14:paraId="48C84838">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3、对谈判物资的设计、制造、安装、测试等方面采取技术和组织措施；</w:t>
      </w:r>
    </w:p>
    <w:p w14:paraId="0E9A80E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4、交货地点、交货时间、交货方式、交货进度及运输方式；</w:t>
      </w:r>
    </w:p>
    <w:p w14:paraId="6DFB31E7">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5、技术服务；</w:t>
      </w:r>
    </w:p>
    <w:p w14:paraId="68A5C743">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6、投标人认为有必要说明的问题。</w:t>
      </w:r>
    </w:p>
    <w:p w14:paraId="04E6DEAD">
      <w:pPr>
        <w:pStyle w:val="17"/>
        <w:widowControl w:val="0"/>
        <w:adjustRightInd w:val="0"/>
        <w:snapToGrid w:val="0"/>
        <w:spacing w:before="0" w:beforeAutospacing="0" w:after="0" w:afterAutospacing="0" w:line="360" w:lineRule="auto"/>
        <w:rPr>
          <w:rFonts w:cs="仿宋_GB2312"/>
          <w:b/>
          <w:bCs/>
          <w:color w:val="auto"/>
          <w:sz w:val="24"/>
          <w:szCs w:val="24"/>
        </w:rPr>
      </w:pPr>
    </w:p>
    <w:p w14:paraId="0293A6B1">
      <w:pPr>
        <w:pStyle w:val="17"/>
        <w:widowControl w:val="0"/>
        <w:adjustRightInd w:val="0"/>
        <w:snapToGrid w:val="0"/>
        <w:spacing w:before="0" w:beforeAutospacing="0" w:after="0" w:afterAutospacing="0" w:line="360" w:lineRule="auto"/>
        <w:rPr>
          <w:rFonts w:cs="仿宋_GB2312"/>
          <w:b/>
          <w:bCs/>
          <w:color w:val="auto"/>
          <w:sz w:val="24"/>
          <w:szCs w:val="24"/>
        </w:rPr>
      </w:pPr>
    </w:p>
    <w:p w14:paraId="6DFBCDF8">
      <w:pPr>
        <w:pStyle w:val="17"/>
        <w:widowControl w:val="0"/>
        <w:adjustRightInd w:val="0"/>
        <w:snapToGrid w:val="0"/>
        <w:spacing w:before="0" w:beforeAutospacing="0" w:after="0" w:afterAutospacing="0" w:line="360" w:lineRule="auto"/>
        <w:rPr>
          <w:rFonts w:cs="仿宋_GB2312"/>
          <w:b/>
          <w:bCs/>
          <w:color w:val="auto"/>
          <w:sz w:val="24"/>
          <w:szCs w:val="24"/>
        </w:rPr>
      </w:pPr>
    </w:p>
    <w:p w14:paraId="48361E95">
      <w:pPr>
        <w:pStyle w:val="17"/>
        <w:widowControl w:val="0"/>
        <w:adjustRightInd w:val="0"/>
        <w:snapToGrid w:val="0"/>
        <w:spacing w:before="0" w:beforeAutospacing="0" w:after="0" w:afterAutospacing="0" w:line="360" w:lineRule="auto"/>
        <w:rPr>
          <w:rFonts w:cs="仿宋_GB2312"/>
          <w:b/>
          <w:bCs/>
          <w:color w:val="auto"/>
          <w:sz w:val="24"/>
          <w:szCs w:val="24"/>
        </w:rPr>
      </w:pPr>
    </w:p>
    <w:p w14:paraId="4158F61B">
      <w:pPr>
        <w:pStyle w:val="17"/>
        <w:widowControl w:val="0"/>
        <w:adjustRightInd w:val="0"/>
        <w:snapToGrid w:val="0"/>
        <w:spacing w:before="0" w:beforeAutospacing="0" w:after="0" w:afterAutospacing="0" w:line="360" w:lineRule="auto"/>
        <w:rPr>
          <w:rFonts w:cs="仿宋_GB2312"/>
          <w:b/>
          <w:bCs/>
          <w:color w:val="auto"/>
          <w:sz w:val="24"/>
          <w:szCs w:val="24"/>
        </w:rPr>
      </w:pPr>
    </w:p>
    <w:p w14:paraId="18E24878">
      <w:pPr>
        <w:pStyle w:val="17"/>
        <w:widowControl w:val="0"/>
        <w:adjustRightInd w:val="0"/>
        <w:snapToGrid w:val="0"/>
        <w:spacing w:before="0" w:beforeAutospacing="0" w:after="0" w:afterAutospacing="0" w:line="360" w:lineRule="auto"/>
        <w:rPr>
          <w:rFonts w:hint="eastAsia" w:cs="仿宋_GB2312"/>
          <w:b/>
          <w:bCs/>
          <w:color w:val="auto"/>
          <w:sz w:val="24"/>
          <w:szCs w:val="24"/>
        </w:rPr>
      </w:pPr>
    </w:p>
    <w:p w14:paraId="4AC0A8AA">
      <w:pPr>
        <w:pStyle w:val="17"/>
        <w:widowControl w:val="0"/>
        <w:adjustRightInd w:val="0"/>
        <w:snapToGrid w:val="0"/>
        <w:spacing w:before="0" w:beforeAutospacing="0" w:after="0" w:afterAutospacing="0" w:line="360" w:lineRule="auto"/>
        <w:rPr>
          <w:rFonts w:cs="仿宋_GB2312"/>
          <w:b/>
          <w:bCs/>
          <w:color w:val="auto"/>
          <w:sz w:val="24"/>
          <w:szCs w:val="24"/>
        </w:rPr>
      </w:pPr>
    </w:p>
    <w:p w14:paraId="14AA3A63">
      <w:pPr>
        <w:pStyle w:val="17"/>
        <w:widowControl w:val="0"/>
        <w:adjustRightInd w:val="0"/>
        <w:snapToGrid w:val="0"/>
        <w:spacing w:before="0" w:beforeAutospacing="0" w:after="0" w:afterAutospacing="0" w:line="360" w:lineRule="auto"/>
        <w:rPr>
          <w:rFonts w:cs="仿宋_GB2312"/>
          <w:b/>
          <w:bCs/>
          <w:color w:val="auto"/>
          <w:sz w:val="24"/>
          <w:szCs w:val="24"/>
        </w:rPr>
      </w:pPr>
    </w:p>
    <w:p w14:paraId="028003F0">
      <w:pPr>
        <w:pStyle w:val="17"/>
        <w:widowControl w:val="0"/>
        <w:adjustRightInd w:val="0"/>
        <w:snapToGrid w:val="0"/>
        <w:spacing w:before="0" w:beforeAutospacing="0" w:after="0" w:afterAutospacing="0" w:line="360" w:lineRule="auto"/>
        <w:rPr>
          <w:rFonts w:cs="仿宋_GB2312"/>
          <w:b/>
          <w:bCs/>
          <w:color w:val="auto"/>
          <w:sz w:val="24"/>
          <w:szCs w:val="24"/>
        </w:rPr>
      </w:pPr>
    </w:p>
    <w:p w14:paraId="561C7C49">
      <w:pPr>
        <w:pStyle w:val="17"/>
        <w:widowControl w:val="0"/>
        <w:adjustRightInd w:val="0"/>
        <w:snapToGrid w:val="0"/>
        <w:spacing w:before="0" w:beforeAutospacing="0" w:after="0" w:afterAutospacing="0" w:line="360" w:lineRule="auto"/>
        <w:rPr>
          <w:rFonts w:cs="仿宋_GB2312"/>
          <w:b/>
          <w:bCs/>
          <w:color w:val="auto"/>
          <w:sz w:val="24"/>
          <w:szCs w:val="24"/>
        </w:rPr>
      </w:pPr>
    </w:p>
    <w:p w14:paraId="6E7B00CD">
      <w:pPr>
        <w:pStyle w:val="17"/>
        <w:widowControl w:val="0"/>
        <w:adjustRightInd w:val="0"/>
        <w:snapToGrid w:val="0"/>
        <w:spacing w:before="0" w:beforeAutospacing="0" w:after="0" w:afterAutospacing="0" w:line="360" w:lineRule="auto"/>
        <w:rPr>
          <w:rFonts w:cs="仿宋_GB2312"/>
          <w:b/>
          <w:bCs/>
          <w:color w:val="auto"/>
          <w:sz w:val="24"/>
          <w:szCs w:val="24"/>
        </w:rPr>
      </w:pPr>
    </w:p>
    <w:p w14:paraId="31E72B79">
      <w:pPr>
        <w:pStyle w:val="17"/>
        <w:widowControl w:val="0"/>
        <w:adjustRightInd w:val="0"/>
        <w:snapToGrid w:val="0"/>
        <w:spacing w:before="0" w:beforeAutospacing="0" w:after="0" w:afterAutospacing="0" w:line="360" w:lineRule="auto"/>
        <w:rPr>
          <w:rFonts w:cs="仿宋_GB2312"/>
          <w:b/>
          <w:bCs/>
          <w:color w:val="auto"/>
          <w:sz w:val="24"/>
          <w:szCs w:val="24"/>
        </w:rPr>
      </w:pPr>
    </w:p>
    <w:p w14:paraId="2347F151">
      <w:pPr>
        <w:pStyle w:val="17"/>
        <w:widowControl w:val="0"/>
        <w:adjustRightInd w:val="0"/>
        <w:snapToGrid w:val="0"/>
        <w:spacing w:before="0" w:beforeAutospacing="0" w:after="0" w:afterAutospacing="0" w:line="360" w:lineRule="auto"/>
        <w:rPr>
          <w:rFonts w:cs="仿宋_GB2312"/>
          <w:b/>
          <w:bCs/>
          <w:color w:val="auto"/>
          <w:sz w:val="24"/>
          <w:szCs w:val="24"/>
        </w:rPr>
      </w:pPr>
    </w:p>
    <w:p w14:paraId="664D700C">
      <w:pPr>
        <w:pStyle w:val="17"/>
        <w:widowControl w:val="0"/>
        <w:adjustRightInd w:val="0"/>
        <w:snapToGrid w:val="0"/>
        <w:spacing w:before="0" w:beforeAutospacing="0" w:after="0" w:afterAutospacing="0" w:line="360" w:lineRule="auto"/>
        <w:rPr>
          <w:rFonts w:cs="仿宋_GB2312"/>
          <w:b/>
          <w:bCs/>
          <w:color w:val="auto"/>
          <w:sz w:val="24"/>
          <w:szCs w:val="24"/>
        </w:rPr>
      </w:pPr>
    </w:p>
    <w:p w14:paraId="5861221C">
      <w:pPr>
        <w:pStyle w:val="17"/>
        <w:widowControl w:val="0"/>
        <w:adjustRightInd w:val="0"/>
        <w:snapToGrid w:val="0"/>
        <w:spacing w:before="0" w:beforeAutospacing="0" w:after="0" w:afterAutospacing="0" w:line="360" w:lineRule="auto"/>
        <w:rPr>
          <w:rFonts w:cs="仿宋_GB2312"/>
          <w:b/>
          <w:bCs/>
          <w:color w:val="auto"/>
          <w:sz w:val="24"/>
          <w:szCs w:val="24"/>
        </w:rPr>
      </w:pPr>
    </w:p>
    <w:p w14:paraId="1F3B6762">
      <w:pPr>
        <w:pStyle w:val="17"/>
        <w:widowControl w:val="0"/>
        <w:adjustRightInd w:val="0"/>
        <w:snapToGrid w:val="0"/>
        <w:spacing w:before="0" w:beforeAutospacing="0" w:after="0" w:afterAutospacing="0" w:line="360" w:lineRule="auto"/>
        <w:rPr>
          <w:rFonts w:hint="eastAsia" w:cs="仿宋_GB2312"/>
          <w:b/>
          <w:bCs/>
          <w:color w:val="auto"/>
          <w:sz w:val="24"/>
          <w:szCs w:val="24"/>
        </w:rPr>
      </w:pPr>
    </w:p>
    <w:p w14:paraId="10430DF3">
      <w:pPr>
        <w:pStyle w:val="17"/>
        <w:widowControl w:val="0"/>
        <w:adjustRightInd w:val="0"/>
        <w:snapToGrid w:val="0"/>
        <w:spacing w:before="0" w:beforeAutospacing="0" w:after="0" w:afterAutospacing="0" w:line="360" w:lineRule="auto"/>
        <w:rPr>
          <w:rFonts w:hint="eastAsia" w:cs="仿宋_GB2312"/>
          <w:b/>
          <w:bCs/>
          <w:color w:val="auto"/>
          <w:sz w:val="24"/>
          <w:szCs w:val="24"/>
        </w:rPr>
      </w:pPr>
    </w:p>
    <w:p w14:paraId="56ED1CE9">
      <w:pPr>
        <w:pStyle w:val="17"/>
        <w:widowControl w:val="0"/>
        <w:adjustRightInd w:val="0"/>
        <w:snapToGrid w:val="0"/>
        <w:spacing w:before="0" w:beforeAutospacing="0" w:after="0" w:afterAutospacing="0" w:line="360" w:lineRule="auto"/>
        <w:rPr>
          <w:rFonts w:hint="eastAsia" w:cs="仿宋_GB2312"/>
          <w:b/>
          <w:bCs/>
          <w:color w:val="auto"/>
          <w:sz w:val="24"/>
          <w:szCs w:val="24"/>
        </w:rPr>
      </w:pPr>
      <w:r>
        <w:rPr>
          <w:rFonts w:hint="eastAsia" w:cs="仿宋_GB2312"/>
          <w:b/>
          <w:bCs/>
          <w:color w:val="auto"/>
          <w:sz w:val="24"/>
          <w:szCs w:val="24"/>
        </w:rPr>
        <w:t>七、偏离表</w:t>
      </w:r>
    </w:p>
    <w:p w14:paraId="2DE72B42">
      <w:pPr>
        <w:pStyle w:val="17"/>
        <w:widowControl w:val="0"/>
        <w:adjustRightInd w:val="0"/>
        <w:snapToGrid w:val="0"/>
        <w:spacing w:before="0" w:beforeAutospacing="0" w:after="0" w:afterAutospacing="0" w:line="360" w:lineRule="auto"/>
        <w:ind w:firstLine="480" w:firstLineChars="200"/>
        <w:rPr>
          <w:rFonts w:hint="eastAsia" w:cs="仿宋_GB2312"/>
          <w:b/>
          <w:color w:val="auto"/>
          <w:sz w:val="24"/>
          <w:szCs w:val="24"/>
        </w:rPr>
      </w:pPr>
      <w:r>
        <w:rPr>
          <w:rFonts w:hint="eastAsia" w:cs="仿宋_GB2312"/>
          <w:color w:val="auto"/>
          <w:sz w:val="24"/>
          <w:szCs w:val="24"/>
        </w:rPr>
        <w:t>（1） 技术规格偏离表</w:t>
      </w:r>
    </w:p>
    <w:tbl>
      <w:tblPr>
        <w:tblStyle w:val="19"/>
        <w:tblW w:w="0" w:type="auto"/>
        <w:tblInd w:w="28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858"/>
        <w:gridCol w:w="1527"/>
        <w:gridCol w:w="1815"/>
        <w:gridCol w:w="1260"/>
        <w:gridCol w:w="1365"/>
        <w:gridCol w:w="1005"/>
        <w:gridCol w:w="1275"/>
      </w:tblGrid>
      <w:tr w14:paraId="16EED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397" w:hRule="exact"/>
        </w:trPr>
        <w:tc>
          <w:tcPr>
            <w:tcW w:w="858" w:type="dxa"/>
            <w:noWrap w:val="0"/>
            <w:vAlign w:val="bottom"/>
          </w:tcPr>
          <w:p w14:paraId="5D9F7AF5">
            <w:pPr>
              <w:spacing w:line="360" w:lineRule="auto"/>
              <w:jc w:val="center"/>
              <w:rPr>
                <w:rFonts w:hint="eastAsia" w:ascii="宋体" w:hAnsi="宋体" w:cs="宋体"/>
                <w:color w:val="auto"/>
                <w:sz w:val="24"/>
              </w:rPr>
            </w:pPr>
            <w:r>
              <w:rPr>
                <w:rFonts w:hint="eastAsia" w:ascii="宋体" w:hAnsi="宋体" w:cs="宋体"/>
                <w:color w:val="auto"/>
                <w:sz w:val="24"/>
              </w:rPr>
              <w:t>序号</w:t>
            </w:r>
          </w:p>
        </w:tc>
        <w:tc>
          <w:tcPr>
            <w:tcW w:w="1527" w:type="dxa"/>
            <w:noWrap w:val="0"/>
            <w:vAlign w:val="bottom"/>
          </w:tcPr>
          <w:p w14:paraId="772F98CA">
            <w:pPr>
              <w:spacing w:line="360" w:lineRule="auto"/>
              <w:jc w:val="center"/>
              <w:rPr>
                <w:rFonts w:hint="eastAsia" w:ascii="宋体" w:hAnsi="宋体" w:cs="宋体"/>
                <w:color w:val="auto"/>
                <w:sz w:val="24"/>
              </w:rPr>
            </w:pPr>
            <w:r>
              <w:rPr>
                <w:rFonts w:hint="eastAsia" w:ascii="宋体" w:hAnsi="宋体" w:cs="宋体"/>
                <w:color w:val="auto"/>
                <w:sz w:val="24"/>
              </w:rPr>
              <w:t>物资名称</w:t>
            </w:r>
          </w:p>
        </w:tc>
        <w:tc>
          <w:tcPr>
            <w:tcW w:w="1815" w:type="dxa"/>
            <w:noWrap w:val="0"/>
            <w:vAlign w:val="bottom"/>
          </w:tcPr>
          <w:p w14:paraId="758FC494">
            <w:pPr>
              <w:spacing w:line="360" w:lineRule="auto"/>
              <w:jc w:val="center"/>
              <w:rPr>
                <w:rFonts w:hint="eastAsia" w:ascii="宋体" w:hAnsi="宋体" w:cs="宋体"/>
                <w:color w:val="auto"/>
                <w:sz w:val="24"/>
              </w:rPr>
            </w:pPr>
            <w:r>
              <w:rPr>
                <w:rFonts w:hint="eastAsia" w:ascii="宋体" w:hAnsi="宋体" w:cs="宋体"/>
                <w:color w:val="auto"/>
                <w:sz w:val="24"/>
              </w:rPr>
              <w:t>采购文件条目号</w:t>
            </w:r>
          </w:p>
        </w:tc>
        <w:tc>
          <w:tcPr>
            <w:tcW w:w="1260" w:type="dxa"/>
            <w:noWrap w:val="0"/>
            <w:vAlign w:val="bottom"/>
          </w:tcPr>
          <w:p w14:paraId="4F0EDC81">
            <w:pPr>
              <w:spacing w:line="360" w:lineRule="auto"/>
              <w:jc w:val="center"/>
              <w:rPr>
                <w:rFonts w:hint="eastAsia" w:ascii="宋体" w:hAnsi="宋体" w:cs="宋体"/>
                <w:color w:val="auto"/>
                <w:sz w:val="24"/>
              </w:rPr>
            </w:pPr>
            <w:r>
              <w:rPr>
                <w:rFonts w:hint="eastAsia" w:ascii="宋体" w:hAnsi="宋体" w:cs="宋体"/>
                <w:color w:val="auto"/>
                <w:sz w:val="24"/>
              </w:rPr>
              <w:t>采购规格</w:t>
            </w:r>
          </w:p>
        </w:tc>
        <w:tc>
          <w:tcPr>
            <w:tcW w:w="1365" w:type="dxa"/>
            <w:noWrap w:val="0"/>
            <w:vAlign w:val="bottom"/>
          </w:tcPr>
          <w:p w14:paraId="345E86AD">
            <w:pPr>
              <w:spacing w:line="360" w:lineRule="auto"/>
              <w:jc w:val="center"/>
              <w:rPr>
                <w:rFonts w:hint="eastAsia" w:ascii="宋体" w:hAnsi="宋体" w:cs="宋体"/>
                <w:color w:val="auto"/>
                <w:sz w:val="24"/>
              </w:rPr>
            </w:pPr>
            <w:r>
              <w:rPr>
                <w:rFonts w:hint="eastAsia" w:ascii="宋体" w:hAnsi="宋体" w:cs="宋体"/>
                <w:color w:val="auto"/>
                <w:sz w:val="24"/>
              </w:rPr>
              <w:t>谈判规格</w:t>
            </w:r>
          </w:p>
        </w:tc>
        <w:tc>
          <w:tcPr>
            <w:tcW w:w="1005" w:type="dxa"/>
            <w:noWrap w:val="0"/>
            <w:vAlign w:val="bottom"/>
          </w:tcPr>
          <w:p w14:paraId="5FF19DD9">
            <w:pPr>
              <w:spacing w:line="360" w:lineRule="auto"/>
              <w:jc w:val="center"/>
              <w:rPr>
                <w:rFonts w:hint="eastAsia" w:ascii="宋体" w:hAnsi="宋体" w:cs="宋体"/>
                <w:color w:val="auto"/>
                <w:sz w:val="24"/>
              </w:rPr>
            </w:pPr>
            <w:r>
              <w:rPr>
                <w:rFonts w:hint="eastAsia" w:ascii="宋体" w:hAnsi="宋体" w:cs="宋体"/>
                <w:color w:val="auto"/>
                <w:sz w:val="24"/>
              </w:rPr>
              <w:t>偏离</w:t>
            </w:r>
          </w:p>
        </w:tc>
        <w:tc>
          <w:tcPr>
            <w:tcW w:w="1275" w:type="dxa"/>
            <w:noWrap w:val="0"/>
            <w:vAlign w:val="bottom"/>
          </w:tcPr>
          <w:p w14:paraId="7C826A6A">
            <w:pPr>
              <w:spacing w:line="360" w:lineRule="auto"/>
              <w:jc w:val="center"/>
              <w:rPr>
                <w:rFonts w:hint="eastAsia" w:ascii="宋体" w:hAnsi="宋体" w:cs="宋体"/>
                <w:color w:val="auto"/>
                <w:sz w:val="24"/>
              </w:rPr>
            </w:pPr>
            <w:r>
              <w:rPr>
                <w:rFonts w:hint="eastAsia" w:ascii="宋体" w:hAnsi="宋体" w:cs="宋体"/>
                <w:color w:val="auto"/>
                <w:sz w:val="24"/>
              </w:rPr>
              <w:t>说明</w:t>
            </w:r>
          </w:p>
        </w:tc>
      </w:tr>
      <w:tr w14:paraId="72BB4F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397" w:hRule="exact"/>
        </w:trPr>
        <w:tc>
          <w:tcPr>
            <w:tcW w:w="858" w:type="dxa"/>
            <w:noWrap w:val="0"/>
            <w:vAlign w:val="top"/>
          </w:tcPr>
          <w:p w14:paraId="66817E3C">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527" w:type="dxa"/>
            <w:noWrap w:val="0"/>
            <w:vAlign w:val="top"/>
          </w:tcPr>
          <w:p w14:paraId="35722D8D">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815" w:type="dxa"/>
            <w:noWrap w:val="0"/>
            <w:vAlign w:val="top"/>
          </w:tcPr>
          <w:p w14:paraId="6EEA24A9">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260" w:type="dxa"/>
            <w:noWrap w:val="0"/>
            <w:vAlign w:val="top"/>
          </w:tcPr>
          <w:p w14:paraId="3870981A">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365" w:type="dxa"/>
            <w:noWrap w:val="0"/>
            <w:vAlign w:val="top"/>
          </w:tcPr>
          <w:p w14:paraId="63750A04">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005" w:type="dxa"/>
            <w:noWrap w:val="0"/>
            <w:vAlign w:val="top"/>
          </w:tcPr>
          <w:p w14:paraId="2B1B73B6">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275" w:type="dxa"/>
            <w:noWrap w:val="0"/>
            <w:vAlign w:val="top"/>
          </w:tcPr>
          <w:p w14:paraId="51921DC1">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r>
      <w:tr w14:paraId="47973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397" w:hRule="exact"/>
        </w:trPr>
        <w:tc>
          <w:tcPr>
            <w:tcW w:w="858" w:type="dxa"/>
            <w:noWrap w:val="0"/>
            <w:vAlign w:val="top"/>
          </w:tcPr>
          <w:p w14:paraId="22EB2835">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527" w:type="dxa"/>
            <w:noWrap w:val="0"/>
            <w:vAlign w:val="top"/>
          </w:tcPr>
          <w:p w14:paraId="684B961B">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815" w:type="dxa"/>
            <w:noWrap w:val="0"/>
            <w:vAlign w:val="top"/>
          </w:tcPr>
          <w:p w14:paraId="6FA1A390">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260" w:type="dxa"/>
            <w:noWrap w:val="0"/>
            <w:vAlign w:val="top"/>
          </w:tcPr>
          <w:p w14:paraId="5B89618F">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365" w:type="dxa"/>
            <w:noWrap w:val="0"/>
            <w:vAlign w:val="top"/>
          </w:tcPr>
          <w:p w14:paraId="115F528E">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005" w:type="dxa"/>
            <w:noWrap w:val="0"/>
            <w:vAlign w:val="top"/>
          </w:tcPr>
          <w:p w14:paraId="34DF3EDA">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275" w:type="dxa"/>
            <w:noWrap w:val="0"/>
            <w:vAlign w:val="top"/>
          </w:tcPr>
          <w:p w14:paraId="40CE5DF3">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r>
    </w:tbl>
    <w:p w14:paraId="3E38E675">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注：投标人应在技术规格说明书中详细列出谈判物资的技术性能和主要技术参数，如投标人递交的技术规格书中与采购文件的技术规格书中的要求有不同时，应逐条列在技术偏离表中，否则将认为投标人接受采购文件技术规格书中的要求。</w:t>
      </w:r>
    </w:p>
    <w:p w14:paraId="7D7E8284">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投标人授权代表（签字）：</w:t>
      </w:r>
      <w:r>
        <w:rPr>
          <w:rFonts w:hint="eastAsia" w:cs="仿宋_GB2312"/>
          <w:color w:val="auto"/>
          <w:sz w:val="24"/>
          <w:szCs w:val="24"/>
          <w:u w:val="single"/>
        </w:rPr>
        <w:t xml:space="preserve"> </w:t>
      </w:r>
    </w:p>
    <w:p w14:paraId="4D87E21E">
      <w:pPr>
        <w:pStyle w:val="17"/>
        <w:widowControl w:val="0"/>
        <w:adjustRightInd w:val="0"/>
        <w:snapToGrid w:val="0"/>
        <w:spacing w:before="0" w:beforeAutospacing="0" w:after="0" w:afterAutospacing="0" w:line="360" w:lineRule="auto"/>
        <w:ind w:firstLine="480" w:firstLineChars="200"/>
        <w:rPr>
          <w:rFonts w:cs="仿宋_GB2312"/>
          <w:color w:val="auto"/>
          <w:sz w:val="24"/>
          <w:szCs w:val="24"/>
          <w:u w:val="single"/>
        </w:rPr>
      </w:pPr>
      <w:r>
        <w:rPr>
          <w:rFonts w:hint="eastAsia" w:cs="仿宋_GB2312"/>
          <w:color w:val="auto"/>
          <w:sz w:val="24"/>
          <w:szCs w:val="24"/>
        </w:rPr>
        <w:t xml:space="preserve">投标人（盖章）： </w:t>
      </w:r>
      <w:r>
        <w:rPr>
          <w:rFonts w:hint="eastAsia" w:cs="仿宋_GB2312"/>
          <w:color w:val="auto"/>
          <w:sz w:val="24"/>
          <w:szCs w:val="24"/>
          <w:u w:val="single"/>
        </w:rPr>
        <w:t xml:space="preserve"> </w:t>
      </w:r>
    </w:p>
    <w:p w14:paraId="7DA11EF5">
      <w:pPr>
        <w:pStyle w:val="17"/>
        <w:widowControl w:val="0"/>
        <w:adjustRightInd w:val="0"/>
        <w:snapToGrid w:val="0"/>
        <w:spacing w:before="0" w:beforeAutospacing="0" w:after="0" w:afterAutospacing="0" w:line="360" w:lineRule="auto"/>
        <w:ind w:firstLine="480" w:firstLineChars="200"/>
        <w:rPr>
          <w:rFonts w:cs="仿宋_GB2312"/>
          <w:color w:val="auto"/>
          <w:sz w:val="24"/>
          <w:szCs w:val="24"/>
          <w:u w:val="single"/>
        </w:rPr>
      </w:pPr>
      <w:r>
        <w:rPr>
          <w:rFonts w:hint="eastAsia" w:cs="仿宋_GB2312"/>
          <w:color w:val="auto"/>
          <w:sz w:val="24"/>
          <w:szCs w:val="24"/>
          <w:u w:val="single"/>
        </w:rPr>
        <w:t xml:space="preserve">                      </w:t>
      </w:r>
    </w:p>
    <w:p w14:paraId="4C339ADD">
      <w:pPr>
        <w:pStyle w:val="17"/>
        <w:widowControl w:val="0"/>
        <w:adjustRightInd w:val="0"/>
        <w:snapToGrid w:val="0"/>
        <w:spacing w:before="0" w:beforeAutospacing="0" w:after="0" w:afterAutospacing="0" w:line="360" w:lineRule="auto"/>
        <w:ind w:firstLine="360" w:firstLineChars="150"/>
        <w:rPr>
          <w:rFonts w:hint="eastAsia" w:cs="仿宋_GB2312"/>
          <w:color w:val="auto"/>
          <w:sz w:val="24"/>
          <w:szCs w:val="24"/>
        </w:rPr>
      </w:pPr>
      <w:r>
        <w:rPr>
          <w:rFonts w:hint="eastAsia" w:cs="仿宋_GB2312"/>
          <w:color w:val="auto"/>
          <w:sz w:val="24"/>
          <w:szCs w:val="24"/>
        </w:rPr>
        <w:t>（2）商务条款偏离表</w:t>
      </w:r>
    </w:p>
    <w:tbl>
      <w:tblPr>
        <w:tblStyle w:val="19"/>
        <w:tblW w:w="0" w:type="auto"/>
        <w:tblInd w:w="26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52"/>
        <w:gridCol w:w="1988"/>
        <w:gridCol w:w="2445"/>
        <w:gridCol w:w="2475"/>
        <w:gridCol w:w="1530"/>
      </w:tblGrid>
      <w:tr w14:paraId="50202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397" w:hRule="exact"/>
        </w:trPr>
        <w:tc>
          <w:tcPr>
            <w:tcW w:w="652" w:type="dxa"/>
            <w:noWrap w:val="0"/>
            <w:vAlign w:val="center"/>
          </w:tcPr>
          <w:p w14:paraId="3D1B64EB">
            <w:pPr>
              <w:pStyle w:val="17"/>
              <w:widowControl w:val="0"/>
              <w:adjustRightInd w:val="0"/>
              <w:snapToGrid w:val="0"/>
              <w:spacing w:before="0" w:beforeAutospacing="0" w:after="0" w:afterAutospacing="0" w:line="360" w:lineRule="auto"/>
              <w:jc w:val="center"/>
              <w:rPr>
                <w:rFonts w:hint="eastAsia" w:cs="仿宋_GB2312"/>
                <w:color w:val="auto"/>
                <w:sz w:val="24"/>
                <w:szCs w:val="24"/>
              </w:rPr>
            </w:pPr>
            <w:r>
              <w:rPr>
                <w:rFonts w:hint="eastAsia" w:cs="仿宋_GB2312"/>
                <w:color w:val="auto"/>
                <w:sz w:val="24"/>
                <w:szCs w:val="24"/>
              </w:rPr>
              <w:t>序号</w:t>
            </w:r>
          </w:p>
        </w:tc>
        <w:tc>
          <w:tcPr>
            <w:tcW w:w="1988" w:type="dxa"/>
            <w:noWrap w:val="0"/>
            <w:vAlign w:val="center"/>
          </w:tcPr>
          <w:p w14:paraId="2AC595AC">
            <w:pPr>
              <w:pStyle w:val="17"/>
              <w:widowControl w:val="0"/>
              <w:adjustRightInd w:val="0"/>
              <w:snapToGrid w:val="0"/>
              <w:spacing w:before="0" w:beforeAutospacing="0" w:after="0" w:afterAutospacing="0" w:line="360" w:lineRule="auto"/>
              <w:ind w:left="0" w:leftChars="-2" w:hanging="4" w:hangingChars="2"/>
              <w:jc w:val="center"/>
              <w:rPr>
                <w:rFonts w:hint="eastAsia" w:cs="仿宋_GB2312"/>
                <w:color w:val="auto"/>
                <w:sz w:val="24"/>
                <w:szCs w:val="24"/>
              </w:rPr>
            </w:pPr>
            <w:r>
              <w:rPr>
                <w:rFonts w:hint="eastAsia" w:cs="仿宋_GB2312"/>
                <w:color w:val="auto"/>
                <w:sz w:val="24"/>
                <w:szCs w:val="24"/>
              </w:rPr>
              <w:t>采购文件条目号</w:t>
            </w:r>
          </w:p>
        </w:tc>
        <w:tc>
          <w:tcPr>
            <w:tcW w:w="2445" w:type="dxa"/>
            <w:noWrap w:val="0"/>
            <w:vAlign w:val="center"/>
          </w:tcPr>
          <w:p w14:paraId="7B39A597">
            <w:pPr>
              <w:pStyle w:val="17"/>
              <w:widowControl w:val="0"/>
              <w:adjustRightInd w:val="0"/>
              <w:snapToGrid w:val="0"/>
              <w:spacing w:before="0" w:beforeAutospacing="0" w:after="0" w:afterAutospacing="0" w:line="360" w:lineRule="auto"/>
              <w:jc w:val="center"/>
              <w:rPr>
                <w:rFonts w:hint="eastAsia" w:cs="仿宋_GB2312"/>
                <w:color w:val="auto"/>
                <w:sz w:val="24"/>
                <w:szCs w:val="24"/>
              </w:rPr>
            </w:pPr>
            <w:r>
              <w:rPr>
                <w:rFonts w:hint="eastAsia" w:cs="仿宋_GB2312"/>
                <w:color w:val="auto"/>
                <w:sz w:val="24"/>
                <w:szCs w:val="24"/>
              </w:rPr>
              <w:t>采购文件的商务条款</w:t>
            </w:r>
          </w:p>
        </w:tc>
        <w:tc>
          <w:tcPr>
            <w:tcW w:w="2475" w:type="dxa"/>
            <w:noWrap w:val="0"/>
            <w:vAlign w:val="center"/>
          </w:tcPr>
          <w:p w14:paraId="5B0197EE">
            <w:pPr>
              <w:pStyle w:val="17"/>
              <w:widowControl w:val="0"/>
              <w:adjustRightInd w:val="0"/>
              <w:snapToGrid w:val="0"/>
              <w:spacing w:before="0" w:beforeAutospacing="0" w:after="0" w:afterAutospacing="0" w:line="360" w:lineRule="auto"/>
              <w:jc w:val="center"/>
              <w:rPr>
                <w:rFonts w:hint="eastAsia" w:cs="仿宋_GB2312"/>
                <w:color w:val="auto"/>
                <w:sz w:val="24"/>
                <w:szCs w:val="24"/>
              </w:rPr>
            </w:pPr>
            <w:r>
              <w:rPr>
                <w:rFonts w:hint="eastAsia" w:cs="仿宋_GB2312"/>
                <w:color w:val="auto"/>
                <w:sz w:val="24"/>
                <w:szCs w:val="24"/>
              </w:rPr>
              <w:t>谈判文件的商务条款</w:t>
            </w:r>
          </w:p>
        </w:tc>
        <w:tc>
          <w:tcPr>
            <w:tcW w:w="1530" w:type="dxa"/>
            <w:noWrap w:val="0"/>
            <w:vAlign w:val="center"/>
          </w:tcPr>
          <w:p w14:paraId="7EFCEDA5">
            <w:pPr>
              <w:pStyle w:val="17"/>
              <w:widowControl w:val="0"/>
              <w:adjustRightInd w:val="0"/>
              <w:snapToGrid w:val="0"/>
              <w:spacing w:before="0" w:beforeAutospacing="0" w:after="0" w:afterAutospacing="0" w:line="360" w:lineRule="auto"/>
              <w:jc w:val="center"/>
              <w:rPr>
                <w:rFonts w:hint="eastAsia" w:cs="仿宋_GB2312"/>
                <w:color w:val="auto"/>
                <w:sz w:val="24"/>
                <w:szCs w:val="24"/>
              </w:rPr>
            </w:pPr>
            <w:r>
              <w:rPr>
                <w:rFonts w:hint="eastAsia" w:cs="仿宋_GB2312"/>
                <w:color w:val="auto"/>
                <w:sz w:val="24"/>
                <w:szCs w:val="24"/>
              </w:rPr>
              <w:t>说   明</w:t>
            </w:r>
          </w:p>
        </w:tc>
      </w:tr>
      <w:tr w14:paraId="06D8D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397" w:hRule="exact"/>
        </w:trPr>
        <w:tc>
          <w:tcPr>
            <w:tcW w:w="652" w:type="dxa"/>
            <w:noWrap w:val="0"/>
            <w:vAlign w:val="top"/>
          </w:tcPr>
          <w:p w14:paraId="346C98F6">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988" w:type="dxa"/>
            <w:noWrap w:val="0"/>
            <w:vAlign w:val="top"/>
          </w:tcPr>
          <w:p w14:paraId="6AFCE63A">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2445" w:type="dxa"/>
            <w:noWrap w:val="0"/>
            <w:vAlign w:val="top"/>
          </w:tcPr>
          <w:p w14:paraId="691B9E9C">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2475" w:type="dxa"/>
            <w:noWrap w:val="0"/>
            <w:vAlign w:val="top"/>
          </w:tcPr>
          <w:p w14:paraId="359BAC0F">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530" w:type="dxa"/>
            <w:noWrap w:val="0"/>
            <w:vAlign w:val="top"/>
          </w:tcPr>
          <w:p w14:paraId="5449A885">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r>
      <w:tr w14:paraId="49578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cantSplit/>
          <w:trHeight w:val="397" w:hRule="exact"/>
        </w:trPr>
        <w:tc>
          <w:tcPr>
            <w:tcW w:w="652" w:type="dxa"/>
            <w:noWrap w:val="0"/>
            <w:vAlign w:val="top"/>
          </w:tcPr>
          <w:p w14:paraId="0E617076">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988" w:type="dxa"/>
            <w:noWrap w:val="0"/>
            <w:vAlign w:val="top"/>
          </w:tcPr>
          <w:p w14:paraId="1847E9D4">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2445" w:type="dxa"/>
            <w:noWrap w:val="0"/>
            <w:vAlign w:val="top"/>
          </w:tcPr>
          <w:p w14:paraId="2489702F">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2475" w:type="dxa"/>
            <w:noWrap w:val="0"/>
            <w:vAlign w:val="top"/>
          </w:tcPr>
          <w:p w14:paraId="13780DCA">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c>
          <w:tcPr>
            <w:tcW w:w="1530" w:type="dxa"/>
            <w:noWrap w:val="0"/>
            <w:vAlign w:val="top"/>
          </w:tcPr>
          <w:p w14:paraId="4FC11169">
            <w:pPr>
              <w:pStyle w:val="17"/>
              <w:widowControl w:val="0"/>
              <w:adjustRightInd w:val="0"/>
              <w:snapToGrid w:val="0"/>
              <w:spacing w:before="0" w:beforeAutospacing="0" w:after="0" w:afterAutospacing="0" w:line="360" w:lineRule="auto"/>
              <w:ind w:firstLine="240" w:firstLineChars="100"/>
              <w:jc w:val="center"/>
              <w:rPr>
                <w:rFonts w:hint="eastAsia" w:cs="仿宋_GB2312"/>
                <w:color w:val="auto"/>
                <w:sz w:val="24"/>
                <w:szCs w:val="24"/>
              </w:rPr>
            </w:pPr>
          </w:p>
        </w:tc>
      </w:tr>
    </w:tbl>
    <w:p w14:paraId="4F33DFB3">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注：投标人递交的谈判文件中与采购文件的商务部分的要求有不同时，应逐条列在商务偏离表中，否则将认为投标人接受采购文件的要求。</w:t>
      </w:r>
    </w:p>
    <w:p w14:paraId="5009E749">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u w:val="single"/>
        </w:rPr>
      </w:pPr>
      <w:r>
        <w:rPr>
          <w:rFonts w:hint="eastAsia" w:cs="仿宋_GB2312"/>
          <w:color w:val="auto"/>
          <w:sz w:val="24"/>
          <w:szCs w:val="24"/>
        </w:rPr>
        <w:t xml:space="preserve">投标人授权代表（签字）： </w:t>
      </w:r>
      <w:r>
        <w:rPr>
          <w:rFonts w:hint="eastAsia" w:cs="仿宋_GB2312"/>
          <w:color w:val="auto"/>
          <w:sz w:val="24"/>
          <w:szCs w:val="24"/>
          <w:u w:val="single"/>
        </w:rPr>
        <w:t xml:space="preserve">   </w:t>
      </w:r>
    </w:p>
    <w:p w14:paraId="50BABFE8">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投标人（盖章）：</w:t>
      </w:r>
    </w:p>
    <w:p w14:paraId="31F4D94D">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798BEBBA">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5E1131F0">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1439FAF1">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07661E9C">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03F9C1D9">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3CA78D7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2A207ED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2C36CBA0">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6340FB61">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77D40EDA">
      <w:pPr>
        <w:pStyle w:val="17"/>
        <w:widowControl w:val="0"/>
        <w:adjustRightInd w:val="0"/>
        <w:snapToGrid w:val="0"/>
        <w:spacing w:before="0" w:beforeAutospacing="0" w:after="0" w:afterAutospacing="0" w:line="360" w:lineRule="auto"/>
        <w:rPr>
          <w:rFonts w:cs="仿宋_GB2312"/>
          <w:b/>
          <w:bCs/>
          <w:color w:val="auto"/>
          <w:sz w:val="24"/>
          <w:szCs w:val="24"/>
        </w:rPr>
      </w:pPr>
    </w:p>
    <w:p w14:paraId="4E79F4DD">
      <w:pPr>
        <w:pStyle w:val="17"/>
        <w:widowControl w:val="0"/>
        <w:adjustRightInd w:val="0"/>
        <w:snapToGrid w:val="0"/>
        <w:spacing w:before="0" w:beforeAutospacing="0" w:after="0" w:afterAutospacing="0" w:line="360" w:lineRule="auto"/>
        <w:rPr>
          <w:rFonts w:hint="eastAsia" w:cs="仿宋_GB2312"/>
          <w:b/>
          <w:bCs/>
          <w:color w:val="auto"/>
          <w:sz w:val="24"/>
          <w:szCs w:val="24"/>
        </w:rPr>
      </w:pPr>
    </w:p>
    <w:p w14:paraId="33433532">
      <w:pPr>
        <w:pStyle w:val="17"/>
        <w:widowControl w:val="0"/>
        <w:adjustRightInd w:val="0"/>
        <w:snapToGrid w:val="0"/>
        <w:spacing w:before="0" w:beforeAutospacing="0" w:after="0" w:afterAutospacing="0" w:line="360" w:lineRule="auto"/>
        <w:rPr>
          <w:rFonts w:hint="eastAsia" w:cs="仿宋_GB2312"/>
          <w:b/>
          <w:bCs/>
          <w:color w:val="auto"/>
          <w:sz w:val="24"/>
          <w:szCs w:val="24"/>
        </w:rPr>
      </w:pPr>
    </w:p>
    <w:p w14:paraId="371990FF">
      <w:pPr>
        <w:pStyle w:val="17"/>
        <w:widowControl w:val="0"/>
        <w:adjustRightInd w:val="0"/>
        <w:snapToGrid w:val="0"/>
        <w:spacing w:before="0" w:beforeAutospacing="0" w:after="0" w:afterAutospacing="0" w:line="360" w:lineRule="auto"/>
        <w:rPr>
          <w:rFonts w:hint="eastAsia" w:cs="仿宋_GB2312"/>
          <w:b/>
          <w:bCs/>
          <w:color w:val="auto"/>
          <w:sz w:val="24"/>
          <w:szCs w:val="24"/>
        </w:rPr>
      </w:pPr>
      <w:r>
        <w:rPr>
          <w:rFonts w:hint="eastAsia" w:cs="仿宋_GB2312"/>
          <w:b/>
          <w:bCs/>
          <w:color w:val="auto"/>
          <w:sz w:val="24"/>
          <w:szCs w:val="24"/>
        </w:rPr>
        <w:t>八、授权书</w:t>
      </w:r>
    </w:p>
    <w:p w14:paraId="03CF9AE5">
      <w:pPr>
        <w:pStyle w:val="17"/>
        <w:widowControl w:val="0"/>
        <w:adjustRightInd w:val="0"/>
        <w:snapToGrid w:val="0"/>
        <w:spacing w:before="0" w:beforeAutospacing="0" w:after="0" w:afterAutospacing="0" w:line="360" w:lineRule="auto"/>
        <w:jc w:val="center"/>
        <w:rPr>
          <w:rFonts w:hint="eastAsia" w:cs="仿宋_GB2312"/>
          <w:b/>
          <w:bCs/>
          <w:color w:val="auto"/>
          <w:sz w:val="32"/>
          <w:szCs w:val="32"/>
        </w:rPr>
      </w:pPr>
      <w:r>
        <w:rPr>
          <w:rFonts w:hint="eastAsia" w:cs="仿宋_GB2312"/>
          <w:b/>
          <w:bCs/>
          <w:color w:val="auto"/>
          <w:sz w:val="32"/>
          <w:szCs w:val="32"/>
        </w:rPr>
        <w:t>法定代表人授权书</w:t>
      </w:r>
    </w:p>
    <w:p w14:paraId="059813DF">
      <w:pPr>
        <w:pStyle w:val="17"/>
        <w:widowControl w:val="0"/>
        <w:adjustRightInd w:val="0"/>
        <w:snapToGrid w:val="0"/>
        <w:spacing w:before="0" w:beforeAutospacing="0" w:after="0" w:afterAutospacing="0" w:line="360" w:lineRule="auto"/>
        <w:rPr>
          <w:rFonts w:hint="eastAsia" w:cs="仿宋_GB2312"/>
          <w:color w:val="auto"/>
          <w:sz w:val="24"/>
          <w:szCs w:val="24"/>
        </w:rPr>
      </w:pPr>
      <w:r>
        <w:rPr>
          <w:rFonts w:cs="仿宋_GB2312"/>
          <w:color w:val="auto"/>
          <w:sz w:val="24"/>
          <w:szCs w:val="24"/>
          <w:u w:val="single"/>
        </w:rPr>
        <w:t>山西煤机装备制造有限责任公司</w:t>
      </w:r>
      <w:r>
        <w:rPr>
          <w:rFonts w:hint="eastAsia" w:cs="仿宋_GB2312"/>
          <w:color w:val="auto"/>
          <w:sz w:val="24"/>
          <w:szCs w:val="24"/>
        </w:rPr>
        <w:t>：</w:t>
      </w:r>
    </w:p>
    <w:p w14:paraId="37EBBB63">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注册于      省      市（县）的                   公司法定代表人         授权           代表我公司参加贵方组织的招标采购、合同签订等相关事宜，其所签署的所有文件本人均予认可。</w:t>
      </w:r>
    </w:p>
    <w:p w14:paraId="5223CD1C">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特此授权</w:t>
      </w:r>
    </w:p>
    <w:p w14:paraId="43AFC400">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r>
        <w:rPr>
          <w:rFonts w:hint="eastAsia" w:cs="仿宋_GB2312"/>
          <w:color w:val="auto"/>
          <w:sz w:val="24"/>
          <w:szCs w:val="24"/>
        </w:rPr>
        <w:t>本授权书有效期：____  年</w:t>
      </w:r>
      <w:r>
        <w:rPr>
          <w:rFonts w:hint="eastAsia" w:cs="仿宋_GB2312"/>
          <w:color w:val="auto"/>
          <w:sz w:val="24"/>
          <w:szCs w:val="24"/>
          <w:u w:val="single"/>
        </w:rPr>
        <w:t xml:space="preserve">    </w:t>
      </w:r>
      <w:r>
        <w:rPr>
          <w:rFonts w:hint="eastAsia" w:cs="仿宋_GB2312"/>
          <w:color w:val="auto"/>
          <w:sz w:val="24"/>
          <w:szCs w:val="24"/>
        </w:rPr>
        <w:t xml:space="preserve"> 月</w:t>
      </w:r>
      <w:r>
        <w:rPr>
          <w:rFonts w:hint="eastAsia" w:cs="仿宋_GB2312"/>
          <w:color w:val="auto"/>
          <w:sz w:val="24"/>
          <w:szCs w:val="24"/>
          <w:u w:val="single"/>
        </w:rPr>
        <w:t xml:space="preserve">   </w:t>
      </w:r>
      <w:r>
        <w:rPr>
          <w:rFonts w:hint="eastAsia" w:cs="仿宋_GB2312"/>
          <w:color w:val="auto"/>
          <w:sz w:val="24"/>
          <w:szCs w:val="24"/>
        </w:rPr>
        <w:t xml:space="preserve"> 日至____年</w:t>
      </w:r>
      <w:r>
        <w:rPr>
          <w:rFonts w:hint="eastAsia" w:cs="仿宋_GB2312"/>
          <w:color w:val="auto"/>
          <w:sz w:val="24"/>
          <w:szCs w:val="24"/>
          <w:u w:val="single"/>
        </w:rPr>
        <w:t xml:space="preserve">    </w:t>
      </w:r>
      <w:r>
        <w:rPr>
          <w:rFonts w:hint="eastAsia" w:cs="仿宋_GB2312"/>
          <w:color w:val="auto"/>
          <w:sz w:val="24"/>
          <w:szCs w:val="24"/>
        </w:rPr>
        <w:t xml:space="preserve">  月____日</w:t>
      </w:r>
    </w:p>
    <w:p w14:paraId="4FD3826B">
      <w:pPr>
        <w:pStyle w:val="17"/>
        <w:widowControl w:val="0"/>
        <w:adjustRightInd w:val="0"/>
        <w:snapToGrid w:val="0"/>
        <w:spacing w:before="0" w:beforeAutospacing="0" w:after="0" w:afterAutospacing="0" w:line="360" w:lineRule="auto"/>
        <w:ind w:firstLine="480" w:firstLineChars="200"/>
        <w:rPr>
          <w:rFonts w:hint="eastAsia" w:cs="仿宋_GB2312"/>
          <w:color w:val="auto"/>
          <w:sz w:val="24"/>
          <w:szCs w:val="24"/>
        </w:rPr>
      </w:pPr>
    </w:p>
    <w:p w14:paraId="2806E85B">
      <w:pPr>
        <w:pStyle w:val="17"/>
        <w:widowControl w:val="0"/>
        <w:adjustRightInd w:val="0"/>
        <w:snapToGrid w:val="0"/>
        <w:spacing w:before="0" w:beforeAutospacing="0" w:after="0" w:afterAutospacing="0" w:line="360" w:lineRule="auto"/>
        <w:ind w:left="480" w:hanging="480" w:hangingChars="200"/>
        <w:rPr>
          <w:rFonts w:hint="eastAsia" w:cs="仿宋_GB2312"/>
          <w:color w:val="auto"/>
          <w:sz w:val="24"/>
          <w:szCs w:val="24"/>
        </w:rPr>
      </w:pPr>
      <w:r>
        <w:rPr>
          <w:rFonts w:hint="eastAsia" w:cs="仿宋_GB2312"/>
          <w:color w:val="auto"/>
          <w:sz w:val="24"/>
          <w:szCs w:val="24"/>
        </w:rPr>
        <w:t xml:space="preserve">             </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8"/>
        <w:gridCol w:w="4788"/>
      </w:tblGrid>
      <w:tr w14:paraId="3AB6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3" w:hRule="atLeast"/>
        </w:trPr>
        <w:tc>
          <w:tcPr>
            <w:tcW w:w="4788" w:type="dxa"/>
            <w:tcBorders>
              <w:top w:val="dashSmallGap" w:color="auto" w:sz="4" w:space="0"/>
              <w:left w:val="dashSmallGap" w:color="auto" w:sz="4" w:space="0"/>
              <w:bottom w:val="dashSmallGap" w:color="auto" w:sz="4" w:space="0"/>
              <w:right w:val="dashSmallGap" w:color="auto" w:sz="4" w:space="0"/>
            </w:tcBorders>
            <w:noWrap w:val="0"/>
            <w:vAlign w:val="center"/>
          </w:tcPr>
          <w:p w14:paraId="0EB68634">
            <w:pPr>
              <w:spacing w:line="360" w:lineRule="auto"/>
              <w:jc w:val="center"/>
              <w:rPr>
                <w:rFonts w:hint="eastAsia" w:ascii="宋体" w:hAnsi="宋体" w:cs="仿宋_GB2312"/>
                <w:color w:val="auto"/>
                <w:kern w:val="0"/>
                <w:sz w:val="24"/>
              </w:rPr>
            </w:pPr>
            <w:r>
              <w:rPr>
                <w:rFonts w:hint="eastAsia" w:cs="仿宋_GB2312"/>
                <w:color w:val="auto"/>
                <w:sz w:val="24"/>
              </w:rPr>
              <w:t>法人身份证正面</w:t>
            </w:r>
          </w:p>
        </w:tc>
        <w:tc>
          <w:tcPr>
            <w:tcW w:w="4788" w:type="dxa"/>
            <w:tcBorders>
              <w:top w:val="dashSmallGap" w:color="auto" w:sz="4" w:space="0"/>
              <w:left w:val="dashSmallGap" w:color="auto" w:sz="4" w:space="0"/>
              <w:bottom w:val="dashSmallGap" w:color="auto" w:sz="4" w:space="0"/>
              <w:right w:val="dashSmallGap" w:color="auto" w:sz="4" w:space="0"/>
            </w:tcBorders>
            <w:noWrap w:val="0"/>
            <w:vAlign w:val="center"/>
          </w:tcPr>
          <w:p w14:paraId="2C5DE9B3">
            <w:pPr>
              <w:spacing w:line="360" w:lineRule="auto"/>
              <w:jc w:val="center"/>
              <w:rPr>
                <w:rFonts w:hint="eastAsia" w:ascii="宋体" w:hAnsi="宋体" w:cs="仿宋_GB2312"/>
                <w:b/>
                <w:bCs/>
                <w:color w:val="auto"/>
                <w:kern w:val="0"/>
                <w:sz w:val="24"/>
              </w:rPr>
            </w:pPr>
            <w:r>
              <w:rPr>
                <w:rFonts w:hint="eastAsia" w:cs="仿宋_GB2312"/>
                <w:color w:val="auto"/>
                <w:sz w:val="24"/>
              </w:rPr>
              <w:t>法人身份证反面</w:t>
            </w:r>
          </w:p>
        </w:tc>
      </w:tr>
      <w:tr w14:paraId="01BE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3" w:hRule="atLeast"/>
        </w:trPr>
        <w:tc>
          <w:tcPr>
            <w:tcW w:w="4788" w:type="dxa"/>
            <w:tcBorders>
              <w:top w:val="dashSmallGap" w:color="auto" w:sz="4" w:space="0"/>
              <w:left w:val="dashSmallGap" w:color="auto" w:sz="4" w:space="0"/>
              <w:bottom w:val="dashSmallGap" w:color="auto" w:sz="4" w:space="0"/>
              <w:right w:val="dashSmallGap" w:color="auto" w:sz="4" w:space="0"/>
            </w:tcBorders>
            <w:noWrap w:val="0"/>
            <w:vAlign w:val="center"/>
          </w:tcPr>
          <w:p w14:paraId="32C1DCDF">
            <w:pPr>
              <w:spacing w:line="360" w:lineRule="auto"/>
              <w:jc w:val="center"/>
              <w:rPr>
                <w:rFonts w:ascii="宋体" w:hAnsi="宋体" w:cs="仿宋_GB2312"/>
                <w:color w:val="auto"/>
                <w:kern w:val="0"/>
                <w:sz w:val="24"/>
              </w:rPr>
            </w:pPr>
            <w:r>
              <w:rPr>
                <w:rFonts w:hint="eastAsia" w:cs="仿宋_GB2312"/>
                <w:color w:val="auto"/>
                <w:sz w:val="24"/>
              </w:rPr>
              <w:t>投标人授权代表身份证正面</w:t>
            </w:r>
          </w:p>
        </w:tc>
        <w:tc>
          <w:tcPr>
            <w:tcW w:w="4788" w:type="dxa"/>
            <w:tcBorders>
              <w:top w:val="dashSmallGap" w:color="auto" w:sz="4" w:space="0"/>
              <w:left w:val="dashSmallGap" w:color="auto" w:sz="4" w:space="0"/>
              <w:bottom w:val="dashSmallGap" w:color="auto" w:sz="4" w:space="0"/>
              <w:right w:val="dashSmallGap" w:color="auto" w:sz="4" w:space="0"/>
            </w:tcBorders>
            <w:noWrap w:val="0"/>
            <w:vAlign w:val="center"/>
          </w:tcPr>
          <w:p w14:paraId="73375DE3">
            <w:pPr>
              <w:spacing w:line="360" w:lineRule="auto"/>
              <w:jc w:val="center"/>
              <w:rPr>
                <w:rFonts w:ascii="宋体" w:hAnsi="宋体" w:cs="仿宋_GB2312"/>
                <w:color w:val="auto"/>
                <w:kern w:val="0"/>
                <w:sz w:val="24"/>
              </w:rPr>
            </w:pPr>
            <w:r>
              <w:rPr>
                <w:rFonts w:hint="eastAsia" w:cs="仿宋_GB2312"/>
                <w:color w:val="auto"/>
                <w:sz w:val="24"/>
              </w:rPr>
              <w:t>投标人授权代表身份证正反面</w:t>
            </w:r>
          </w:p>
        </w:tc>
      </w:tr>
    </w:tbl>
    <w:p w14:paraId="13398554">
      <w:pPr>
        <w:spacing w:line="360" w:lineRule="auto"/>
        <w:rPr>
          <w:rFonts w:hint="eastAsia" w:cs="仿宋_GB2312"/>
          <w:color w:val="auto"/>
          <w:sz w:val="24"/>
        </w:rPr>
      </w:pPr>
    </w:p>
    <w:p w14:paraId="5998598A">
      <w:pPr>
        <w:pStyle w:val="39"/>
        <w:widowControl w:val="0"/>
        <w:adjustRightInd w:val="0"/>
        <w:snapToGrid w:val="0"/>
        <w:spacing w:before="0" w:beforeAutospacing="0" w:after="0" w:afterAutospacing="0" w:line="360" w:lineRule="auto"/>
        <w:jc w:val="both"/>
        <w:rPr>
          <w:rFonts w:hint="eastAsia" w:cs="仿宋_GB2312"/>
          <w:b/>
          <w:color w:val="auto"/>
        </w:rPr>
      </w:pPr>
      <w:r>
        <w:rPr>
          <w:rFonts w:hint="eastAsia" w:cs="仿宋_GB2312"/>
          <w:color w:val="auto"/>
        </w:rPr>
        <w:t>投标人（盖章）：                     法定代表人（签字）：</w:t>
      </w:r>
    </w:p>
    <w:p w14:paraId="657631C9">
      <w:pPr>
        <w:pStyle w:val="17"/>
        <w:widowControl w:val="0"/>
        <w:adjustRightInd w:val="0"/>
        <w:snapToGrid w:val="0"/>
        <w:spacing w:before="0" w:beforeAutospacing="0" w:after="0" w:afterAutospacing="0" w:line="360" w:lineRule="auto"/>
        <w:ind w:left="2280" w:hanging="2280" w:hangingChars="950"/>
        <w:rPr>
          <w:rFonts w:cs="仿宋_GB2312"/>
          <w:color w:val="auto"/>
          <w:sz w:val="24"/>
          <w:bdr w:val="single" w:color="auto" w:sz="4" w:space="0"/>
        </w:rPr>
      </w:pPr>
    </w:p>
    <w:p w14:paraId="48A97F70">
      <w:pPr>
        <w:pStyle w:val="17"/>
        <w:widowControl w:val="0"/>
        <w:adjustRightInd w:val="0"/>
        <w:snapToGrid w:val="0"/>
        <w:spacing w:before="0" w:beforeAutospacing="0" w:after="0" w:afterAutospacing="0" w:line="360" w:lineRule="auto"/>
        <w:ind w:left="2280" w:hanging="2280" w:hangingChars="950"/>
        <w:rPr>
          <w:rFonts w:cs="仿宋_GB2312"/>
          <w:color w:val="auto"/>
          <w:sz w:val="24"/>
          <w:bdr w:val="single" w:color="auto" w:sz="4" w:space="0"/>
        </w:rPr>
      </w:pPr>
    </w:p>
    <w:p w14:paraId="79ACBE28">
      <w:pPr>
        <w:pStyle w:val="17"/>
        <w:widowControl w:val="0"/>
        <w:adjustRightInd w:val="0"/>
        <w:snapToGrid w:val="0"/>
        <w:spacing w:before="0" w:beforeAutospacing="0" w:after="0" w:afterAutospacing="0" w:line="360" w:lineRule="auto"/>
        <w:ind w:left="2280" w:hanging="2280" w:hangingChars="950"/>
        <w:rPr>
          <w:rFonts w:cs="仿宋_GB2312"/>
          <w:color w:val="auto"/>
          <w:sz w:val="24"/>
          <w:bdr w:val="single" w:color="auto" w:sz="4" w:space="0"/>
        </w:rPr>
      </w:pPr>
    </w:p>
    <w:p w14:paraId="19EFEACB">
      <w:pPr>
        <w:pStyle w:val="17"/>
        <w:widowControl w:val="0"/>
        <w:adjustRightInd w:val="0"/>
        <w:snapToGrid w:val="0"/>
        <w:spacing w:before="0" w:beforeAutospacing="0" w:after="0" w:afterAutospacing="0" w:line="360" w:lineRule="auto"/>
        <w:ind w:left="2280" w:hanging="2280" w:hangingChars="950"/>
        <w:rPr>
          <w:rFonts w:cs="仿宋_GB2312"/>
          <w:color w:val="auto"/>
          <w:sz w:val="24"/>
          <w:bdr w:val="single" w:color="auto" w:sz="4" w:space="0"/>
        </w:rPr>
      </w:pPr>
    </w:p>
    <w:p w14:paraId="5708AAFE">
      <w:pPr>
        <w:pStyle w:val="17"/>
        <w:widowControl w:val="0"/>
        <w:adjustRightInd w:val="0"/>
        <w:snapToGrid w:val="0"/>
        <w:spacing w:before="0" w:beforeAutospacing="0" w:after="0" w:afterAutospacing="0" w:line="360" w:lineRule="auto"/>
        <w:ind w:left="2280" w:hanging="2280" w:hangingChars="950"/>
        <w:rPr>
          <w:rFonts w:cs="仿宋_GB2312"/>
          <w:color w:val="auto"/>
          <w:sz w:val="24"/>
          <w:bdr w:val="single" w:color="auto" w:sz="4" w:space="0"/>
        </w:rPr>
      </w:pPr>
    </w:p>
    <w:p w14:paraId="4D9F6526">
      <w:pPr>
        <w:spacing w:line="360" w:lineRule="auto"/>
        <w:ind w:firstLine="3534" w:firstLineChars="1100"/>
        <w:rPr>
          <w:rFonts w:hint="default" w:ascii="宋体" w:hAnsi="宋体" w:eastAsia="宋体" w:cs="仿宋_GB2312"/>
          <w:b/>
          <w:color w:val="auto"/>
          <w:sz w:val="32"/>
          <w:szCs w:val="32"/>
          <w:lang w:val="en-US" w:eastAsia="zh-CN"/>
        </w:rPr>
      </w:pPr>
      <w:r>
        <w:rPr>
          <w:rFonts w:hint="eastAsia" w:ascii="宋体" w:hAnsi="宋体"/>
          <w:b/>
          <w:color w:val="auto"/>
          <w:sz w:val="32"/>
          <w:szCs w:val="32"/>
        </w:rPr>
        <w:t>第</w:t>
      </w:r>
      <w:r>
        <w:rPr>
          <w:rFonts w:hint="eastAsia" w:ascii="宋体" w:hAnsi="宋体"/>
          <w:b/>
          <w:color w:val="auto"/>
          <w:sz w:val="32"/>
          <w:szCs w:val="32"/>
          <w:lang w:val="en-US" w:eastAsia="zh-CN"/>
        </w:rPr>
        <w:t>四</w:t>
      </w:r>
      <w:r>
        <w:rPr>
          <w:rFonts w:hint="eastAsia" w:ascii="宋体" w:hAnsi="宋体"/>
          <w:b/>
          <w:color w:val="auto"/>
          <w:sz w:val="32"/>
          <w:szCs w:val="32"/>
        </w:rPr>
        <w:t xml:space="preserve">部分 </w:t>
      </w:r>
      <w:r>
        <w:rPr>
          <w:rFonts w:hint="eastAsia" w:ascii="宋体" w:hAnsi="宋体"/>
          <w:b/>
          <w:color w:val="auto"/>
          <w:sz w:val="32"/>
          <w:szCs w:val="32"/>
          <w:lang w:val="en-US" w:eastAsia="zh-CN"/>
        </w:rPr>
        <w:t>评分办法</w:t>
      </w:r>
    </w:p>
    <w:p w14:paraId="5233E4D3">
      <w:pPr>
        <w:spacing w:line="360" w:lineRule="auto"/>
        <w:ind w:firstLine="482" w:firstLineChars="200"/>
        <w:rPr>
          <w:rFonts w:hint="eastAsia" w:ascii="宋体" w:hAnsi="宋体"/>
          <w:b/>
          <w:bCs/>
          <w:color w:val="auto"/>
          <w:sz w:val="24"/>
          <w:szCs w:val="24"/>
        </w:rPr>
      </w:pPr>
      <w:r>
        <w:rPr>
          <w:rFonts w:hint="eastAsia" w:ascii="宋体" w:hAnsi="宋体"/>
          <w:b/>
          <w:bCs/>
          <w:color w:val="auto"/>
          <w:sz w:val="24"/>
          <w:szCs w:val="24"/>
          <w:lang w:val="en-US" w:eastAsia="zh-CN"/>
        </w:rPr>
        <w:t>一、</w:t>
      </w:r>
      <w:r>
        <w:rPr>
          <w:rFonts w:hint="eastAsia" w:ascii="宋体" w:hAnsi="宋体"/>
          <w:b/>
          <w:bCs/>
          <w:color w:val="auto"/>
          <w:sz w:val="24"/>
          <w:szCs w:val="24"/>
        </w:rPr>
        <w:t>商务、技术部分评审（满分</w:t>
      </w:r>
      <w:r>
        <w:rPr>
          <w:rFonts w:hint="eastAsia" w:ascii="宋体" w:hAnsi="宋体"/>
          <w:b/>
          <w:bCs/>
          <w:color w:val="auto"/>
          <w:sz w:val="24"/>
          <w:szCs w:val="24"/>
          <w:lang w:val="en-US" w:eastAsia="zh-CN"/>
        </w:rPr>
        <w:t>6</w:t>
      </w:r>
      <w:r>
        <w:rPr>
          <w:rFonts w:hint="eastAsia" w:ascii="宋体" w:hAnsi="宋体"/>
          <w:b/>
          <w:bCs/>
          <w:color w:val="auto"/>
          <w:sz w:val="24"/>
          <w:szCs w:val="24"/>
        </w:rPr>
        <w:t>0分）</w:t>
      </w:r>
    </w:p>
    <w:tbl>
      <w:tblPr>
        <w:tblStyle w:val="19"/>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353"/>
        <w:gridCol w:w="5840"/>
        <w:gridCol w:w="995"/>
      </w:tblGrid>
      <w:tr w14:paraId="6586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8" w:hRule="atLeast"/>
        </w:trPr>
        <w:tc>
          <w:tcPr>
            <w:tcW w:w="851" w:type="dxa"/>
            <w:tcBorders>
              <w:top w:val="single" w:color="auto" w:sz="4" w:space="0"/>
              <w:left w:val="single" w:color="auto" w:sz="4" w:space="0"/>
              <w:bottom w:val="single" w:color="auto" w:sz="4" w:space="0"/>
              <w:right w:val="single" w:color="auto" w:sz="4" w:space="0"/>
            </w:tcBorders>
            <w:noWrap w:val="0"/>
            <w:vAlign w:val="center"/>
          </w:tcPr>
          <w:p w14:paraId="1F97F930">
            <w:pPr>
              <w:adjustRightInd w:val="0"/>
              <w:snapToGrid w:val="0"/>
              <w:spacing w:line="360" w:lineRule="auto"/>
              <w:jc w:val="center"/>
              <w:rPr>
                <w:rFonts w:ascii="宋体" w:hAnsi="宋体"/>
                <w:color w:val="auto"/>
                <w:sz w:val="24"/>
                <w:szCs w:val="24"/>
              </w:rPr>
            </w:pPr>
            <w:r>
              <w:rPr>
                <w:rFonts w:hint="eastAsia" w:ascii="宋体" w:hAnsi="宋体"/>
                <w:color w:val="auto"/>
                <w:sz w:val="24"/>
                <w:szCs w:val="24"/>
              </w:rPr>
              <w:t>序号</w:t>
            </w:r>
          </w:p>
        </w:tc>
        <w:tc>
          <w:tcPr>
            <w:tcW w:w="1353" w:type="dxa"/>
            <w:tcBorders>
              <w:top w:val="single" w:color="auto" w:sz="4" w:space="0"/>
              <w:left w:val="single" w:color="auto" w:sz="4" w:space="0"/>
              <w:bottom w:val="single" w:color="auto" w:sz="4" w:space="0"/>
              <w:right w:val="single" w:color="auto" w:sz="4" w:space="0"/>
            </w:tcBorders>
            <w:noWrap w:val="0"/>
            <w:vAlign w:val="center"/>
          </w:tcPr>
          <w:p w14:paraId="2E1A014F">
            <w:pPr>
              <w:adjustRightInd w:val="0"/>
              <w:snapToGrid w:val="0"/>
              <w:spacing w:line="360" w:lineRule="auto"/>
              <w:jc w:val="center"/>
              <w:rPr>
                <w:rFonts w:hint="eastAsia" w:ascii="宋体" w:hAnsi="宋体"/>
                <w:color w:val="auto"/>
                <w:sz w:val="24"/>
                <w:szCs w:val="24"/>
              </w:rPr>
            </w:pPr>
            <w:r>
              <w:rPr>
                <w:rFonts w:hint="eastAsia" w:ascii="宋体" w:hAnsi="宋体"/>
                <w:color w:val="auto"/>
                <w:sz w:val="24"/>
                <w:szCs w:val="24"/>
              </w:rPr>
              <w:t>评分项目</w:t>
            </w:r>
          </w:p>
        </w:tc>
        <w:tc>
          <w:tcPr>
            <w:tcW w:w="5840" w:type="dxa"/>
            <w:tcBorders>
              <w:top w:val="single" w:color="auto" w:sz="4" w:space="0"/>
              <w:left w:val="single" w:color="auto" w:sz="4" w:space="0"/>
              <w:bottom w:val="single" w:color="auto" w:sz="4" w:space="0"/>
              <w:right w:val="single" w:color="auto" w:sz="4" w:space="0"/>
            </w:tcBorders>
            <w:noWrap w:val="0"/>
            <w:vAlign w:val="center"/>
          </w:tcPr>
          <w:p w14:paraId="63FCD082">
            <w:pPr>
              <w:adjustRightInd w:val="0"/>
              <w:snapToGrid w:val="0"/>
              <w:spacing w:line="360" w:lineRule="auto"/>
              <w:ind w:left="220" w:hanging="252" w:hangingChars="105"/>
              <w:jc w:val="center"/>
              <w:rPr>
                <w:rFonts w:ascii="宋体" w:hAnsi="宋体"/>
                <w:color w:val="auto"/>
                <w:sz w:val="24"/>
                <w:szCs w:val="24"/>
              </w:rPr>
            </w:pPr>
            <w:r>
              <w:rPr>
                <w:rFonts w:ascii="宋体" w:hAnsi="宋体"/>
                <w:color w:val="auto"/>
                <w:sz w:val="24"/>
                <w:szCs w:val="24"/>
              </w:rPr>
              <w:t>评分</w:t>
            </w:r>
            <w:r>
              <w:rPr>
                <w:rFonts w:hint="eastAsia" w:ascii="宋体" w:hAnsi="宋体"/>
                <w:color w:val="auto"/>
                <w:sz w:val="24"/>
                <w:szCs w:val="24"/>
              </w:rPr>
              <w:t>内容</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082DB19F">
            <w:pPr>
              <w:adjustRightInd w:val="0"/>
              <w:snapToGrid w:val="0"/>
              <w:spacing w:line="360" w:lineRule="auto"/>
              <w:jc w:val="center"/>
              <w:rPr>
                <w:rFonts w:ascii="宋体" w:hAnsi="宋体"/>
                <w:color w:val="auto"/>
                <w:sz w:val="24"/>
                <w:szCs w:val="24"/>
              </w:rPr>
            </w:pPr>
            <w:r>
              <w:rPr>
                <w:rFonts w:hint="eastAsia" w:ascii="宋体" w:hAnsi="宋体"/>
                <w:color w:val="auto"/>
                <w:sz w:val="24"/>
                <w:szCs w:val="24"/>
              </w:rPr>
              <w:t>分值</w:t>
            </w:r>
          </w:p>
        </w:tc>
      </w:tr>
      <w:tr w14:paraId="6677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851" w:type="dxa"/>
            <w:vMerge w:val="restart"/>
            <w:tcBorders>
              <w:top w:val="single" w:color="auto" w:sz="4" w:space="0"/>
              <w:left w:val="single" w:color="auto" w:sz="4" w:space="0"/>
              <w:right w:val="single" w:color="auto" w:sz="4" w:space="0"/>
            </w:tcBorders>
            <w:noWrap w:val="0"/>
            <w:vAlign w:val="center"/>
          </w:tcPr>
          <w:p w14:paraId="089B469C">
            <w:pPr>
              <w:adjustRightInd w:val="0"/>
              <w:snapToGrid w:val="0"/>
              <w:spacing w:line="360" w:lineRule="auto"/>
              <w:jc w:val="center"/>
              <w:rPr>
                <w:rFonts w:hint="eastAsia" w:ascii="宋体" w:hAnsi="宋体"/>
                <w:color w:val="auto"/>
                <w:sz w:val="24"/>
                <w:szCs w:val="24"/>
              </w:rPr>
            </w:pPr>
            <w:r>
              <w:rPr>
                <w:rFonts w:hint="eastAsia" w:ascii="宋体" w:hAnsi="宋体"/>
                <w:color w:val="auto"/>
                <w:sz w:val="24"/>
                <w:szCs w:val="24"/>
              </w:rPr>
              <w:t>1</w:t>
            </w:r>
          </w:p>
          <w:p w14:paraId="16AE9298">
            <w:pPr>
              <w:adjustRightInd w:val="0"/>
              <w:snapToGrid w:val="0"/>
              <w:spacing w:line="360" w:lineRule="auto"/>
              <w:jc w:val="center"/>
              <w:rPr>
                <w:rFonts w:hint="eastAsia" w:ascii="宋体" w:hAnsi="宋体"/>
                <w:color w:val="auto"/>
                <w:sz w:val="24"/>
                <w:szCs w:val="24"/>
              </w:rPr>
            </w:pPr>
          </w:p>
        </w:tc>
        <w:tc>
          <w:tcPr>
            <w:tcW w:w="1353" w:type="dxa"/>
            <w:vMerge w:val="restart"/>
            <w:tcBorders>
              <w:top w:val="single" w:color="auto" w:sz="4" w:space="0"/>
              <w:left w:val="single" w:color="auto" w:sz="4" w:space="0"/>
              <w:right w:val="single" w:color="auto" w:sz="4" w:space="0"/>
            </w:tcBorders>
            <w:noWrap w:val="0"/>
            <w:vAlign w:val="center"/>
          </w:tcPr>
          <w:p w14:paraId="534C970A">
            <w:pPr>
              <w:adjustRightInd w:val="0"/>
              <w:snapToGrid w:val="0"/>
              <w:spacing w:line="360" w:lineRule="auto"/>
              <w:jc w:val="center"/>
              <w:rPr>
                <w:rFonts w:hint="eastAsia" w:ascii="宋体" w:hAnsi="宋体"/>
                <w:color w:val="auto"/>
                <w:sz w:val="24"/>
                <w:szCs w:val="24"/>
              </w:rPr>
            </w:pPr>
            <w:r>
              <w:rPr>
                <w:rFonts w:hint="eastAsia" w:ascii="宋体" w:hAnsi="宋体"/>
                <w:color w:val="auto"/>
                <w:sz w:val="24"/>
                <w:szCs w:val="24"/>
              </w:rPr>
              <w:t>资信业绩部分（1</w:t>
            </w:r>
            <w:r>
              <w:rPr>
                <w:rFonts w:hint="eastAsia" w:ascii="宋体" w:hAnsi="宋体"/>
                <w:color w:val="auto"/>
                <w:sz w:val="24"/>
                <w:szCs w:val="24"/>
                <w:lang w:val="en-US" w:eastAsia="zh-CN"/>
              </w:rPr>
              <w:t>0</w:t>
            </w:r>
            <w:r>
              <w:rPr>
                <w:rFonts w:hint="eastAsia" w:ascii="宋体" w:hAnsi="宋体"/>
                <w:color w:val="auto"/>
                <w:sz w:val="24"/>
                <w:szCs w:val="24"/>
              </w:rPr>
              <w:t>分）</w:t>
            </w:r>
          </w:p>
        </w:tc>
        <w:tc>
          <w:tcPr>
            <w:tcW w:w="5840" w:type="dxa"/>
            <w:tcBorders>
              <w:top w:val="single" w:color="auto" w:sz="4" w:space="0"/>
              <w:left w:val="single" w:color="auto" w:sz="4" w:space="0"/>
              <w:right w:val="single" w:color="auto" w:sz="4" w:space="0"/>
            </w:tcBorders>
            <w:noWrap w:val="0"/>
            <w:vAlign w:val="center"/>
          </w:tcPr>
          <w:p w14:paraId="607E9D28">
            <w:pPr>
              <w:adjustRightInd w:val="0"/>
              <w:snapToGrid w:val="0"/>
              <w:spacing w:line="360" w:lineRule="auto"/>
              <w:rPr>
                <w:rFonts w:hint="eastAsia"/>
                <w:color w:val="auto"/>
                <w:sz w:val="24"/>
                <w:szCs w:val="24"/>
              </w:rPr>
            </w:pPr>
            <w:r>
              <w:rPr>
                <w:rFonts w:hint="eastAsia"/>
                <w:color w:val="auto"/>
                <w:sz w:val="24"/>
                <w:szCs w:val="24"/>
              </w:rPr>
              <w:t>投标人具有住建部颁发的钢结构专业承包施工资质的，得</w:t>
            </w:r>
            <w:r>
              <w:rPr>
                <w:rFonts w:hint="eastAsia"/>
                <w:color w:val="auto"/>
                <w:sz w:val="24"/>
                <w:szCs w:val="24"/>
                <w:lang w:val="en-US" w:eastAsia="zh-CN"/>
              </w:rPr>
              <w:t>1</w:t>
            </w:r>
            <w:r>
              <w:rPr>
                <w:rFonts w:hint="eastAsia"/>
                <w:color w:val="auto"/>
                <w:sz w:val="24"/>
                <w:szCs w:val="24"/>
              </w:rPr>
              <w:t>分。</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2FC6C672">
            <w:pPr>
              <w:adjustRightInd w:val="0"/>
              <w:snapToGrid w:val="0"/>
              <w:spacing w:line="360" w:lineRule="auto"/>
              <w:jc w:val="center"/>
              <w:rPr>
                <w:rFonts w:hint="eastAsia"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分</w:t>
            </w:r>
          </w:p>
        </w:tc>
      </w:tr>
      <w:tr w14:paraId="0F53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851" w:type="dxa"/>
            <w:vMerge w:val="continue"/>
            <w:tcBorders>
              <w:left w:val="single" w:color="auto" w:sz="4" w:space="0"/>
              <w:right w:val="single" w:color="auto" w:sz="4" w:space="0"/>
            </w:tcBorders>
            <w:noWrap w:val="0"/>
            <w:vAlign w:val="center"/>
          </w:tcPr>
          <w:p w14:paraId="3C7CACFE">
            <w:pPr>
              <w:adjustRightInd w:val="0"/>
              <w:snapToGrid w:val="0"/>
              <w:spacing w:line="360" w:lineRule="auto"/>
              <w:jc w:val="center"/>
              <w:rPr>
                <w:rFonts w:hint="eastAsia" w:ascii="宋体" w:hAnsi="宋体"/>
                <w:color w:val="auto"/>
                <w:sz w:val="24"/>
                <w:szCs w:val="24"/>
              </w:rPr>
            </w:pPr>
          </w:p>
        </w:tc>
        <w:tc>
          <w:tcPr>
            <w:tcW w:w="1353" w:type="dxa"/>
            <w:vMerge w:val="continue"/>
            <w:tcBorders>
              <w:top w:val="single" w:color="auto" w:sz="4" w:space="0"/>
              <w:left w:val="single" w:color="auto" w:sz="4" w:space="0"/>
              <w:right w:val="single" w:color="auto" w:sz="4" w:space="0"/>
            </w:tcBorders>
            <w:noWrap w:val="0"/>
            <w:vAlign w:val="center"/>
          </w:tcPr>
          <w:p w14:paraId="5F1E0A9C">
            <w:pPr>
              <w:adjustRightInd w:val="0"/>
              <w:snapToGrid w:val="0"/>
              <w:spacing w:line="360" w:lineRule="auto"/>
              <w:jc w:val="center"/>
              <w:rPr>
                <w:rFonts w:hint="eastAsia" w:ascii="宋体" w:hAnsi="宋体"/>
                <w:color w:val="auto"/>
                <w:sz w:val="24"/>
                <w:szCs w:val="24"/>
              </w:rPr>
            </w:pPr>
          </w:p>
        </w:tc>
        <w:tc>
          <w:tcPr>
            <w:tcW w:w="5840" w:type="dxa"/>
            <w:tcBorders>
              <w:top w:val="single" w:color="auto" w:sz="4" w:space="0"/>
              <w:left w:val="single" w:color="auto" w:sz="4" w:space="0"/>
              <w:bottom w:val="single" w:color="auto" w:sz="4" w:space="0"/>
              <w:right w:val="single" w:color="auto" w:sz="4" w:space="0"/>
            </w:tcBorders>
            <w:noWrap w:val="0"/>
            <w:vAlign w:val="center"/>
          </w:tcPr>
          <w:p w14:paraId="63A2B53F">
            <w:pPr>
              <w:adjustRightInd w:val="0"/>
              <w:snapToGrid w:val="0"/>
              <w:spacing w:line="360" w:lineRule="auto"/>
              <w:rPr>
                <w:rFonts w:hint="eastAsia"/>
                <w:color w:val="auto"/>
                <w:sz w:val="24"/>
                <w:szCs w:val="24"/>
              </w:rPr>
            </w:pPr>
            <w:r>
              <w:rPr>
                <w:rFonts w:hint="eastAsia"/>
                <w:color w:val="auto"/>
                <w:sz w:val="24"/>
                <w:szCs w:val="24"/>
              </w:rPr>
              <w:t>投标人具有安全生产许可证的，得</w:t>
            </w:r>
            <w:r>
              <w:rPr>
                <w:rFonts w:hint="eastAsia"/>
                <w:color w:val="auto"/>
                <w:sz w:val="24"/>
                <w:szCs w:val="24"/>
                <w:lang w:val="en-US" w:eastAsia="zh-CN"/>
              </w:rPr>
              <w:t>1</w:t>
            </w:r>
            <w:r>
              <w:rPr>
                <w:rFonts w:hint="eastAsia"/>
                <w:color w:val="auto"/>
                <w:sz w:val="24"/>
                <w:szCs w:val="24"/>
              </w:rPr>
              <w:t>分。</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749B08E1">
            <w:pPr>
              <w:adjustRightInd w:val="0"/>
              <w:snapToGrid w:val="0"/>
              <w:spacing w:line="360" w:lineRule="auto"/>
              <w:jc w:val="center"/>
              <w:rPr>
                <w:rFonts w:hint="eastAsia"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分</w:t>
            </w:r>
          </w:p>
        </w:tc>
      </w:tr>
      <w:tr w14:paraId="3383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3" w:hRule="atLeast"/>
        </w:trPr>
        <w:tc>
          <w:tcPr>
            <w:tcW w:w="851" w:type="dxa"/>
            <w:vMerge w:val="continue"/>
            <w:tcBorders>
              <w:left w:val="single" w:color="auto" w:sz="4" w:space="0"/>
              <w:bottom w:val="single" w:color="auto" w:sz="4" w:space="0"/>
              <w:right w:val="single" w:color="auto" w:sz="4" w:space="0"/>
            </w:tcBorders>
            <w:noWrap w:val="0"/>
            <w:vAlign w:val="center"/>
          </w:tcPr>
          <w:p w14:paraId="35694304">
            <w:pPr>
              <w:adjustRightInd w:val="0"/>
              <w:snapToGrid w:val="0"/>
              <w:spacing w:line="360" w:lineRule="auto"/>
              <w:jc w:val="center"/>
              <w:rPr>
                <w:rFonts w:hint="eastAsia" w:ascii="宋体" w:hAnsi="宋体"/>
                <w:color w:val="auto"/>
                <w:sz w:val="24"/>
                <w:szCs w:val="24"/>
              </w:rPr>
            </w:pPr>
          </w:p>
        </w:tc>
        <w:tc>
          <w:tcPr>
            <w:tcW w:w="1353" w:type="dxa"/>
            <w:vMerge w:val="continue"/>
            <w:tcBorders>
              <w:top w:val="single" w:color="auto" w:sz="4" w:space="0"/>
              <w:left w:val="single" w:color="auto" w:sz="4" w:space="0"/>
              <w:right w:val="single" w:color="auto" w:sz="4" w:space="0"/>
            </w:tcBorders>
            <w:noWrap w:val="0"/>
            <w:vAlign w:val="center"/>
          </w:tcPr>
          <w:p w14:paraId="10E019F4">
            <w:pPr>
              <w:adjustRightInd w:val="0"/>
              <w:snapToGrid w:val="0"/>
              <w:spacing w:line="360" w:lineRule="auto"/>
              <w:jc w:val="center"/>
              <w:rPr>
                <w:rFonts w:hint="eastAsia" w:ascii="宋体" w:hAnsi="宋体"/>
                <w:color w:val="auto"/>
                <w:sz w:val="24"/>
                <w:szCs w:val="24"/>
              </w:rPr>
            </w:pPr>
          </w:p>
        </w:tc>
        <w:tc>
          <w:tcPr>
            <w:tcW w:w="5840" w:type="dxa"/>
            <w:tcBorders>
              <w:top w:val="single" w:color="auto" w:sz="4" w:space="0"/>
              <w:left w:val="single" w:color="auto" w:sz="4" w:space="0"/>
              <w:bottom w:val="single" w:color="auto" w:sz="4" w:space="0"/>
              <w:right w:val="single" w:color="auto" w:sz="4" w:space="0"/>
            </w:tcBorders>
            <w:noWrap w:val="0"/>
            <w:vAlign w:val="center"/>
          </w:tcPr>
          <w:p w14:paraId="53A93598">
            <w:pPr>
              <w:adjustRightInd w:val="0"/>
              <w:snapToGrid w:val="0"/>
              <w:spacing w:line="360" w:lineRule="auto"/>
              <w:rPr>
                <w:rFonts w:hint="eastAsia"/>
                <w:color w:val="auto"/>
                <w:sz w:val="24"/>
                <w:szCs w:val="24"/>
              </w:rPr>
            </w:pPr>
            <w:r>
              <w:rPr>
                <w:rFonts w:hint="eastAsia"/>
                <w:color w:val="auto"/>
                <w:sz w:val="24"/>
                <w:szCs w:val="24"/>
              </w:rPr>
              <w:t>同类项目业绩情况：</w:t>
            </w:r>
          </w:p>
          <w:p w14:paraId="581BEDC5">
            <w:pPr>
              <w:adjustRightInd w:val="0"/>
              <w:snapToGrid w:val="0"/>
              <w:spacing w:line="360" w:lineRule="auto"/>
              <w:rPr>
                <w:rFonts w:hint="default" w:eastAsia="宋体"/>
                <w:color w:val="auto"/>
                <w:sz w:val="24"/>
                <w:szCs w:val="24"/>
                <w:lang w:val="en-US" w:eastAsia="zh-CN"/>
              </w:rPr>
            </w:pPr>
            <w:r>
              <w:rPr>
                <w:rFonts w:hint="eastAsia" w:cs="仿宋_GB2312"/>
                <w:color w:val="auto"/>
                <w:sz w:val="24"/>
                <w:szCs w:val="24"/>
                <w:lang w:eastAsia="zh-CN"/>
              </w:rPr>
              <w:t>（</w:t>
            </w:r>
            <w:r>
              <w:rPr>
                <w:rFonts w:hint="eastAsia" w:ascii="宋体" w:hAnsi="宋体" w:cs="宋体"/>
                <w:color w:val="auto"/>
                <w:kern w:val="0"/>
                <w:sz w:val="24"/>
                <w:lang w:val="en-US" w:eastAsia="zh-CN"/>
              </w:rPr>
              <w:t>投标人自2020年1月1日以来（以合同签订时间为准），具有楼体发光字（发光字安装高度40米及以上）同类项目且合同金额人民币10万元及以上供货安装业绩</w:t>
            </w:r>
            <w:r>
              <w:rPr>
                <w:rFonts w:hint="eastAsia" w:cs="仿宋_GB2312"/>
                <w:color w:val="auto"/>
                <w:sz w:val="24"/>
                <w:szCs w:val="24"/>
                <w:lang w:eastAsia="zh-CN"/>
              </w:rPr>
              <w:t>）</w:t>
            </w:r>
            <w:r>
              <w:rPr>
                <w:rFonts w:hint="eastAsia"/>
                <w:color w:val="auto"/>
                <w:sz w:val="24"/>
                <w:szCs w:val="24"/>
              </w:rPr>
              <w:t>（业绩证明材料：合同复印件、发票、验收单（验收单需加盖甲方公章），</w:t>
            </w:r>
            <w:r>
              <w:rPr>
                <w:rFonts w:hint="eastAsia"/>
                <w:color w:val="auto"/>
                <w:sz w:val="24"/>
                <w:szCs w:val="24"/>
                <w:lang w:val="en-US" w:eastAsia="zh-CN"/>
              </w:rPr>
              <w:t>证明材料</w:t>
            </w:r>
            <w:r>
              <w:rPr>
                <w:rFonts w:hint="eastAsia"/>
                <w:color w:val="auto"/>
                <w:sz w:val="24"/>
                <w:szCs w:val="24"/>
              </w:rPr>
              <w:t>原件备查）；</w:t>
            </w:r>
            <w:r>
              <w:rPr>
                <w:rFonts w:hint="eastAsia"/>
                <w:color w:val="auto"/>
                <w:sz w:val="24"/>
                <w:szCs w:val="24"/>
                <w:lang w:val="en-US" w:eastAsia="zh-CN"/>
              </w:rPr>
              <w:t>类似业绩指同为楼体发光字设计、制作、安装类的工程业绩，每提供一个类似业绩得2分，最高得8分。</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46B1CD87">
            <w:pPr>
              <w:adjustRightInd w:val="0"/>
              <w:snapToGrid w:val="0"/>
              <w:spacing w:line="360" w:lineRule="auto"/>
              <w:jc w:val="center"/>
              <w:rPr>
                <w:rFonts w:hint="eastAsia" w:ascii="宋体" w:hAnsi="宋体"/>
                <w:color w:val="auto"/>
                <w:sz w:val="24"/>
                <w:szCs w:val="24"/>
              </w:rPr>
            </w:pPr>
            <w:r>
              <w:rPr>
                <w:rFonts w:hint="eastAsia" w:ascii="宋体" w:hAnsi="宋体"/>
                <w:color w:val="auto"/>
                <w:sz w:val="24"/>
                <w:szCs w:val="24"/>
                <w:lang w:val="en-US" w:eastAsia="zh-CN"/>
              </w:rPr>
              <w:t>8</w:t>
            </w:r>
            <w:r>
              <w:rPr>
                <w:rFonts w:hint="eastAsia" w:ascii="宋体" w:hAnsi="宋体"/>
                <w:color w:val="auto"/>
                <w:sz w:val="24"/>
                <w:szCs w:val="24"/>
              </w:rPr>
              <w:t>分</w:t>
            </w:r>
          </w:p>
        </w:tc>
      </w:tr>
      <w:tr w14:paraId="4F15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 w:hRule="atLeast"/>
        </w:trPr>
        <w:tc>
          <w:tcPr>
            <w:tcW w:w="851" w:type="dxa"/>
            <w:vMerge w:val="restart"/>
            <w:tcBorders>
              <w:top w:val="single" w:color="auto" w:sz="4" w:space="0"/>
              <w:left w:val="single" w:color="auto" w:sz="4" w:space="0"/>
              <w:right w:val="single" w:color="auto" w:sz="4" w:space="0"/>
            </w:tcBorders>
            <w:noWrap w:val="0"/>
            <w:vAlign w:val="center"/>
          </w:tcPr>
          <w:p w14:paraId="33911C32">
            <w:pPr>
              <w:adjustRightInd w:val="0"/>
              <w:snapToGrid w:val="0"/>
              <w:spacing w:line="360" w:lineRule="auto"/>
              <w:jc w:val="center"/>
              <w:rPr>
                <w:rFonts w:hint="eastAsia" w:ascii="宋体" w:hAnsi="宋体"/>
                <w:color w:val="auto"/>
                <w:sz w:val="24"/>
                <w:szCs w:val="24"/>
              </w:rPr>
            </w:pPr>
            <w:r>
              <w:rPr>
                <w:rFonts w:hint="eastAsia" w:ascii="宋体" w:hAnsi="宋体"/>
                <w:color w:val="auto"/>
                <w:sz w:val="24"/>
                <w:szCs w:val="24"/>
              </w:rPr>
              <w:t>2</w:t>
            </w:r>
          </w:p>
        </w:tc>
        <w:tc>
          <w:tcPr>
            <w:tcW w:w="1353" w:type="dxa"/>
            <w:vMerge w:val="restart"/>
            <w:tcBorders>
              <w:top w:val="single" w:color="auto" w:sz="4" w:space="0"/>
              <w:left w:val="single" w:color="auto" w:sz="4" w:space="0"/>
              <w:right w:val="single" w:color="auto" w:sz="4" w:space="0"/>
            </w:tcBorders>
            <w:noWrap w:val="0"/>
            <w:vAlign w:val="center"/>
          </w:tcPr>
          <w:p w14:paraId="0FBDC62A">
            <w:pPr>
              <w:adjustRightInd w:val="0"/>
              <w:snapToGrid w:val="0"/>
              <w:spacing w:line="360" w:lineRule="auto"/>
              <w:jc w:val="center"/>
              <w:rPr>
                <w:rFonts w:hint="eastAsia" w:ascii="宋体" w:hAnsi="宋体"/>
                <w:color w:val="auto"/>
                <w:sz w:val="24"/>
                <w:szCs w:val="24"/>
              </w:rPr>
            </w:pPr>
            <w:r>
              <w:rPr>
                <w:rFonts w:hint="eastAsia" w:ascii="宋体" w:hAnsi="宋体"/>
                <w:color w:val="auto"/>
                <w:sz w:val="24"/>
                <w:szCs w:val="24"/>
              </w:rPr>
              <w:t>设计、技术响应、安装方案情况</w:t>
            </w:r>
          </w:p>
          <w:p w14:paraId="49B268C7">
            <w:pPr>
              <w:adjustRightInd w:val="0"/>
              <w:snapToGrid w:val="0"/>
              <w:spacing w:line="360" w:lineRule="auto"/>
              <w:jc w:val="center"/>
              <w:rPr>
                <w:rFonts w:hint="eastAsia" w:ascii="宋体" w:hAnsi="宋体"/>
                <w:color w:val="auto"/>
                <w:sz w:val="24"/>
                <w:szCs w:val="24"/>
              </w:rPr>
            </w:pPr>
            <w:r>
              <w:rPr>
                <w:rFonts w:hint="eastAsia" w:ascii="宋体" w:hAnsi="宋体"/>
                <w:color w:val="auto"/>
                <w:sz w:val="24"/>
                <w:szCs w:val="24"/>
              </w:rPr>
              <w:t>（4</w:t>
            </w:r>
            <w:r>
              <w:rPr>
                <w:rFonts w:hint="eastAsia" w:ascii="宋体" w:hAnsi="宋体"/>
                <w:color w:val="auto"/>
                <w:sz w:val="24"/>
                <w:szCs w:val="24"/>
                <w:lang w:val="en-US" w:eastAsia="zh-CN"/>
              </w:rPr>
              <w:t>0</w:t>
            </w:r>
            <w:r>
              <w:rPr>
                <w:rFonts w:hint="eastAsia" w:ascii="宋体" w:hAnsi="宋体"/>
                <w:color w:val="auto"/>
                <w:sz w:val="24"/>
                <w:szCs w:val="24"/>
              </w:rPr>
              <w:t>分）</w:t>
            </w:r>
          </w:p>
        </w:tc>
        <w:tc>
          <w:tcPr>
            <w:tcW w:w="5840" w:type="dxa"/>
            <w:tcBorders>
              <w:top w:val="single" w:color="auto" w:sz="4" w:space="0"/>
              <w:left w:val="single" w:color="auto" w:sz="4" w:space="0"/>
              <w:bottom w:val="single" w:color="auto" w:sz="4" w:space="0"/>
              <w:right w:val="single" w:color="auto" w:sz="4" w:space="0"/>
            </w:tcBorders>
            <w:noWrap w:val="0"/>
            <w:vAlign w:val="center"/>
          </w:tcPr>
          <w:p w14:paraId="2C70CB9B">
            <w:pPr>
              <w:adjustRightInd w:val="0"/>
              <w:snapToGrid w:val="0"/>
              <w:spacing w:line="360" w:lineRule="auto"/>
              <w:rPr>
                <w:rFonts w:hint="default"/>
                <w:color w:val="auto"/>
                <w:sz w:val="24"/>
                <w:szCs w:val="24"/>
                <w:lang w:val="en-US"/>
              </w:rPr>
            </w:pPr>
            <w:r>
              <w:rPr>
                <w:rFonts w:hint="eastAsia"/>
                <w:color w:val="auto"/>
                <w:sz w:val="24"/>
                <w:szCs w:val="24"/>
              </w:rPr>
              <w:t>投标人根据招标内容提供深化设计方案，方案详细、准确，</w:t>
            </w:r>
            <w:r>
              <w:rPr>
                <w:rFonts w:hint="eastAsia"/>
                <w:color w:val="auto"/>
                <w:sz w:val="24"/>
                <w:szCs w:val="24"/>
                <w:lang w:val="en-US" w:eastAsia="zh-CN"/>
              </w:rPr>
              <w:t>包含了发光字立面点位图、尺寸图、室外钢架平面图、节点图、发光字安装剖面图、节点大样图，符合安全施工规范并能提供力学计算结果的，得10分，其余少一项扣1分，不提供不得分。</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0D0EFFDA">
            <w:pPr>
              <w:adjustRightInd w:val="0"/>
              <w:snapToGrid w:val="0"/>
              <w:spacing w:line="360" w:lineRule="auto"/>
              <w:jc w:val="center"/>
              <w:rPr>
                <w:rFonts w:hint="eastAsia" w:ascii="宋体" w:hAnsi="宋体"/>
                <w:color w:val="auto"/>
                <w:sz w:val="24"/>
                <w:szCs w:val="24"/>
              </w:rPr>
            </w:pPr>
            <w:r>
              <w:rPr>
                <w:rFonts w:hint="eastAsia" w:ascii="宋体" w:hAnsi="宋体"/>
                <w:color w:val="auto"/>
                <w:sz w:val="24"/>
                <w:szCs w:val="24"/>
                <w:lang w:val="en-US" w:eastAsia="zh-CN"/>
              </w:rPr>
              <w:t>10</w:t>
            </w:r>
            <w:r>
              <w:rPr>
                <w:rFonts w:hint="eastAsia" w:ascii="宋体" w:hAnsi="宋体"/>
                <w:color w:val="auto"/>
                <w:sz w:val="24"/>
                <w:szCs w:val="24"/>
              </w:rPr>
              <w:t>分</w:t>
            </w:r>
          </w:p>
        </w:tc>
      </w:tr>
      <w:tr w14:paraId="2611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851" w:type="dxa"/>
            <w:vMerge w:val="continue"/>
            <w:tcBorders>
              <w:left w:val="single" w:color="auto" w:sz="4" w:space="0"/>
              <w:right w:val="single" w:color="auto" w:sz="4" w:space="0"/>
            </w:tcBorders>
            <w:noWrap w:val="0"/>
            <w:vAlign w:val="center"/>
          </w:tcPr>
          <w:p w14:paraId="50E71418">
            <w:pPr>
              <w:adjustRightInd w:val="0"/>
              <w:snapToGrid w:val="0"/>
              <w:spacing w:line="360" w:lineRule="auto"/>
              <w:jc w:val="center"/>
              <w:rPr>
                <w:rFonts w:hint="eastAsia" w:ascii="宋体" w:hAnsi="宋体"/>
                <w:color w:val="auto"/>
                <w:sz w:val="24"/>
                <w:szCs w:val="24"/>
              </w:rPr>
            </w:pPr>
          </w:p>
        </w:tc>
        <w:tc>
          <w:tcPr>
            <w:tcW w:w="1353" w:type="dxa"/>
            <w:vMerge w:val="continue"/>
            <w:tcBorders>
              <w:left w:val="single" w:color="auto" w:sz="4" w:space="0"/>
              <w:right w:val="single" w:color="auto" w:sz="4" w:space="0"/>
            </w:tcBorders>
            <w:noWrap w:val="0"/>
            <w:vAlign w:val="center"/>
          </w:tcPr>
          <w:p w14:paraId="6E2228A7">
            <w:pPr>
              <w:adjustRightInd w:val="0"/>
              <w:snapToGrid w:val="0"/>
              <w:spacing w:line="360" w:lineRule="auto"/>
              <w:jc w:val="center"/>
              <w:rPr>
                <w:rFonts w:hint="eastAsia" w:ascii="宋体" w:hAnsi="宋体"/>
                <w:color w:val="auto"/>
                <w:sz w:val="24"/>
                <w:szCs w:val="24"/>
              </w:rPr>
            </w:pPr>
          </w:p>
        </w:tc>
        <w:tc>
          <w:tcPr>
            <w:tcW w:w="5840" w:type="dxa"/>
            <w:tcBorders>
              <w:top w:val="single" w:color="auto" w:sz="4" w:space="0"/>
              <w:left w:val="single" w:color="auto" w:sz="4" w:space="0"/>
              <w:bottom w:val="single" w:color="auto" w:sz="4" w:space="0"/>
              <w:right w:val="single" w:color="auto" w:sz="4" w:space="0"/>
            </w:tcBorders>
            <w:noWrap w:val="0"/>
            <w:vAlign w:val="center"/>
          </w:tcPr>
          <w:p w14:paraId="084745E1">
            <w:pPr>
              <w:adjustRightInd w:val="0"/>
              <w:snapToGrid w:val="0"/>
              <w:spacing w:line="360" w:lineRule="auto"/>
              <w:rPr>
                <w:rFonts w:hint="eastAsia"/>
                <w:color w:val="auto"/>
                <w:sz w:val="24"/>
                <w:szCs w:val="24"/>
              </w:rPr>
            </w:pPr>
            <w:r>
              <w:rPr>
                <w:rFonts w:hint="eastAsia"/>
                <w:color w:val="auto"/>
                <w:sz w:val="24"/>
                <w:szCs w:val="24"/>
                <w:lang w:val="en-US" w:eastAsia="zh-CN"/>
              </w:rPr>
              <w:t>发光字</w:t>
            </w:r>
            <w:r>
              <w:rPr>
                <w:rFonts w:hint="eastAsia"/>
                <w:color w:val="auto"/>
                <w:sz w:val="24"/>
                <w:szCs w:val="24"/>
              </w:rPr>
              <w:t>成品制造商的生产装备的完整性、先进性。</w:t>
            </w:r>
            <w:r>
              <w:rPr>
                <w:rFonts w:hint="eastAsia"/>
                <w:color w:val="auto"/>
                <w:sz w:val="24"/>
                <w:szCs w:val="24"/>
                <w:lang w:val="en-US" w:eastAsia="zh-CN"/>
              </w:rPr>
              <w:t xml:space="preserve"> </w:t>
            </w:r>
            <w:r>
              <w:rPr>
                <w:rFonts w:hint="eastAsia"/>
                <w:color w:val="auto"/>
                <w:sz w:val="24"/>
                <w:szCs w:val="24"/>
              </w:rPr>
              <w:t>生产车间有序、生产装备齐全、先进的得</w:t>
            </w:r>
            <w:r>
              <w:rPr>
                <w:rFonts w:hint="eastAsia"/>
                <w:color w:val="auto"/>
                <w:sz w:val="24"/>
                <w:szCs w:val="24"/>
                <w:lang w:val="en-US" w:eastAsia="zh-CN"/>
              </w:rPr>
              <w:t>2</w:t>
            </w:r>
            <w:r>
              <w:rPr>
                <w:rFonts w:hint="eastAsia"/>
                <w:color w:val="auto"/>
                <w:sz w:val="24"/>
                <w:szCs w:val="24"/>
              </w:rPr>
              <w:t>分，其余情况0-</w:t>
            </w:r>
            <w:r>
              <w:rPr>
                <w:rFonts w:hint="eastAsia"/>
                <w:color w:val="auto"/>
                <w:sz w:val="24"/>
                <w:szCs w:val="24"/>
                <w:lang w:val="en-US" w:eastAsia="zh-CN"/>
              </w:rPr>
              <w:t>1</w:t>
            </w:r>
            <w:r>
              <w:rPr>
                <w:rFonts w:hint="eastAsia"/>
                <w:color w:val="auto"/>
                <w:sz w:val="24"/>
                <w:szCs w:val="24"/>
              </w:rPr>
              <w:t>分。</w:t>
            </w:r>
          </w:p>
          <w:p w14:paraId="78B14DE4">
            <w:pPr>
              <w:adjustRightInd w:val="0"/>
              <w:snapToGrid w:val="0"/>
              <w:spacing w:line="360" w:lineRule="auto"/>
              <w:rPr>
                <w:rFonts w:hint="eastAsia"/>
                <w:color w:val="auto"/>
                <w:sz w:val="24"/>
                <w:szCs w:val="24"/>
              </w:rPr>
            </w:pPr>
            <w:r>
              <w:rPr>
                <w:rFonts w:hint="eastAsia"/>
                <w:color w:val="auto"/>
                <w:sz w:val="24"/>
                <w:szCs w:val="24"/>
              </w:rPr>
              <w:t>证明材料：提供生产车间的自有或者租赁证明；生产装备的购买发票、</w:t>
            </w:r>
            <w:r>
              <w:rPr>
                <w:rFonts w:hint="eastAsia"/>
                <w:color w:val="auto"/>
                <w:sz w:val="24"/>
                <w:szCs w:val="24"/>
                <w:lang w:val="en-US" w:eastAsia="zh-CN"/>
              </w:rPr>
              <w:t>租赁合同</w:t>
            </w:r>
            <w:r>
              <w:rPr>
                <w:rFonts w:hint="eastAsia"/>
                <w:color w:val="auto"/>
                <w:sz w:val="24"/>
                <w:szCs w:val="24"/>
              </w:rPr>
              <w:t>等。</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70BDAF07">
            <w:pPr>
              <w:adjustRightInd w:val="0"/>
              <w:snapToGrid w:val="0"/>
              <w:spacing w:line="360" w:lineRule="auto"/>
              <w:jc w:val="center"/>
              <w:rPr>
                <w:rFonts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分</w:t>
            </w:r>
          </w:p>
        </w:tc>
      </w:tr>
      <w:tr w14:paraId="48CF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851" w:type="dxa"/>
            <w:vMerge w:val="continue"/>
            <w:tcBorders>
              <w:left w:val="single" w:color="auto" w:sz="4" w:space="0"/>
              <w:right w:val="single" w:color="auto" w:sz="4" w:space="0"/>
            </w:tcBorders>
            <w:noWrap w:val="0"/>
            <w:vAlign w:val="center"/>
          </w:tcPr>
          <w:p w14:paraId="557E19FC">
            <w:pPr>
              <w:adjustRightInd w:val="0"/>
              <w:snapToGrid w:val="0"/>
              <w:spacing w:line="360" w:lineRule="auto"/>
              <w:jc w:val="center"/>
              <w:rPr>
                <w:rFonts w:hint="eastAsia" w:ascii="宋体" w:hAnsi="宋体"/>
                <w:color w:val="auto"/>
                <w:sz w:val="24"/>
                <w:szCs w:val="24"/>
              </w:rPr>
            </w:pPr>
          </w:p>
        </w:tc>
        <w:tc>
          <w:tcPr>
            <w:tcW w:w="1353" w:type="dxa"/>
            <w:vMerge w:val="continue"/>
            <w:tcBorders>
              <w:left w:val="single" w:color="auto" w:sz="4" w:space="0"/>
              <w:right w:val="single" w:color="auto" w:sz="4" w:space="0"/>
            </w:tcBorders>
            <w:noWrap w:val="0"/>
            <w:vAlign w:val="center"/>
          </w:tcPr>
          <w:p w14:paraId="41A8B446">
            <w:pPr>
              <w:adjustRightInd w:val="0"/>
              <w:snapToGrid w:val="0"/>
              <w:spacing w:line="360" w:lineRule="auto"/>
              <w:jc w:val="center"/>
              <w:rPr>
                <w:rFonts w:hint="eastAsia" w:ascii="宋体" w:hAnsi="宋体"/>
                <w:color w:val="auto"/>
                <w:sz w:val="24"/>
                <w:szCs w:val="24"/>
              </w:rPr>
            </w:pPr>
          </w:p>
        </w:tc>
        <w:tc>
          <w:tcPr>
            <w:tcW w:w="5840" w:type="dxa"/>
            <w:tcBorders>
              <w:top w:val="single" w:color="auto" w:sz="4" w:space="0"/>
              <w:left w:val="single" w:color="auto" w:sz="4" w:space="0"/>
              <w:bottom w:val="single" w:color="auto" w:sz="4" w:space="0"/>
              <w:right w:val="single" w:color="auto" w:sz="4" w:space="0"/>
            </w:tcBorders>
            <w:noWrap w:val="0"/>
            <w:vAlign w:val="center"/>
          </w:tcPr>
          <w:p w14:paraId="1F375582">
            <w:pPr>
              <w:adjustRightInd w:val="0"/>
              <w:snapToGrid w:val="0"/>
              <w:spacing w:line="360" w:lineRule="auto"/>
              <w:rPr>
                <w:rFonts w:hint="eastAsia"/>
                <w:color w:val="auto"/>
                <w:sz w:val="24"/>
                <w:szCs w:val="24"/>
              </w:rPr>
            </w:pPr>
            <w:r>
              <w:rPr>
                <w:rFonts w:hint="eastAsia"/>
                <w:color w:val="auto"/>
                <w:sz w:val="24"/>
                <w:szCs w:val="24"/>
              </w:rPr>
              <w:t>现场安装方案：投标人针对本项目</w:t>
            </w:r>
            <w:r>
              <w:rPr>
                <w:rFonts w:hint="eastAsia"/>
                <w:color w:val="auto"/>
                <w:sz w:val="24"/>
                <w:szCs w:val="24"/>
                <w:lang w:val="en-US" w:eastAsia="zh-CN"/>
              </w:rPr>
              <w:t>高空</w:t>
            </w:r>
            <w:r>
              <w:rPr>
                <w:rFonts w:hint="eastAsia"/>
                <w:color w:val="auto"/>
                <w:sz w:val="24"/>
                <w:szCs w:val="24"/>
              </w:rPr>
              <w:t>安装方案</w:t>
            </w:r>
            <w:r>
              <w:rPr>
                <w:rFonts w:hint="eastAsia"/>
                <w:color w:val="auto"/>
                <w:sz w:val="24"/>
                <w:szCs w:val="24"/>
                <w:lang w:val="en-US" w:eastAsia="zh-CN"/>
              </w:rPr>
              <w:t>进行专项方案陈述，</w:t>
            </w:r>
            <w:r>
              <w:rPr>
                <w:rFonts w:hint="eastAsia"/>
                <w:color w:val="auto"/>
                <w:sz w:val="24"/>
                <w:szCs w:val="24"/>
              </w:rPr>
              <w:t>方案全面、合理、可靠的得</w:t>
            </w:r>
            <w:r>
              <w:rPr>
                <w:rFonts w:hint="eastAsia"/>
                <w:color w:val="auto"/>
                <w:sz w:val="24"/>
                <w:szCs w:val="24"/>
                <w:lang w:val="en-US" w:eastAsia="zh-CN"/>
              </w:rPr>
              <w:t>10</w:t>
            </w:r>
            <w:r>
              <w:rPr>
                <w:rFonts w:hint="eastAsia"/>
                <w:color w:val="auto"/>
                <w:sz w:val="24"/>
                <w:szCs w:val="24"/>
              </w:rPr>
              <w:t>分，其余0-</w:t>
            </w:r>
            <w:r>
              <w:rPr>
                <w:rFonts w:hint="eastAsia"/>
                <w:color w:val="auto"/>
                <w:sz w:val="24"/>
                <w:szCs w:val="24"/>
                <w:lang w:val="en-US" w:eastAsia="zh-CN"/>
              </w:rPr>
              <w:t>9</w:t>
            </w:r>
            <w:r>
              <w:rPr>
                <w:rFonts w:hint="eastAsia"/>
                <w:color w:val="auto"/>
                <w:sz w:val="24"/>
                <w:szCs w:val="24"/>
              </w:rPr>
              <w:t>分。</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6A353865">
            <w:pPr>
              <w:adjustRightInd w:val="0"/>
              <w:snapToGrid w:val="0"/>
              <w:spacing w:line="360" w:lineRule="auto"/>
              <w:jc w:val="center"/>
              <w:rPr>
                <w:rFonts w:ascii="宋体" w:hAnsi="宋体"/>
                <w:color w:val="auto"/>
                <w:sz w:val="24"/>
                <w:szCs w:val="24"/>
              </w:rPr>
            </w:pPr>
            <w:r>
              <w:rPr>
                <w:rFonts w:hint="eastAsia" w:ascii="宋体" w:hAnsi="宋体"/>
                <w:color w:val="auto"/>
                <w:sz w:val="24"/>
                <w:szCs w:val="24"/>
                <w:lang w:val="en-US" w:eastAsia="zh-CN"/>
              </w:rPr>
              <w:t>10</w:t>
            </w:r>
            <w:r>
              <w:rPr>
                <w:rFonts w:hint="eastAsia" w:ascii="宋体" w:hAnsi="宋体"/>
                <w:color w:val="auto"/>
                <w:sz w:val="24"/>
                <w:szCs w:val="24"/>
              </w:rPr>
              <w:t>分</w:t>
            </w:r>
          </w:p>
        </w:tc>
      </w:tr>
      <w:tr w14:paraId="24096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851" w:type="dxa"/>
            <w:vMerge w:val="continue"/>
            <w:tcBorders>
              <w:left w:val="single" w:color="auto" w:sz="4" w:space="0"/>
              <w:right w:val="single" w:color="auto" w:sz="4" w:space="0"/>
            </w:tcBorders>
            <w:noWrap w:val="0"/>
            <w:vAlign w:val="center"/>
          </w:tcPr>
          <w:p w14:paraId="1D304A37">
            <w:pPr>
              <w:adjustRightInd w:val="0"/>
              <w:snapToGrid w:val="0"/>
              <w:spacing w:line="360" w:lineRule="auto"/>
              <w:jc w:val="center"/>
              <w:rPr>
                <w:rFonts w:hint="eastAsia" w:ascii="宋体" w:hAnsi="宋体"/>
                <w:color w:val="auto"/>
                <w:sz w:val="24"/>
                <w:szCs w:val="24"/>
              </w:rPr>
            </w:pPr>
          </w:p>
        </w:tc>
        <w:tc>
          <w:tcPr>
            <w:tcW w:w="1353" w:type="dxa"/>
            <w:vMerge w:val="continue"/>
            <w:tcBorders>
              <w:left w:val="single" w:color="auto" w:sz="4" w:space="0"/>
              <w:right w:val="single" w:color="auto" w:sz="4" w:space="0"/>
            </w:tcBorders>
            <w:noWrap w:val="0"/>
            <w:vAlign w:val="center"/>
          </w:tcPr>
          <w:p w14:paraId="5BB9F9F9">
            <w:pPr>
              <w:adjustRightInd w:val="0"/>
              <w:snapToGrid w:val="0"/>
              <w:spacing w:line="360" w:lineRule="auto"/>
              <w:jc w:val="center"/>
              <w:rPr>
                <w:rFonts w:hint="eastAsia" w:ascii="宋体" w:hAnsi="宋体"/>
                <w:color w:val="auto"/>
                <w:sz w:val="24"/>
                <w:szCs w:val="24"/>
              </w:rPr>
            </w:pPr>
          </w:p>
        </w:tc>
        <w:tc>
          <w:tcPr>
            <w:tcW w:w="5840" w:type="dxa"/>
            <w:tcBorders>
              <w:top w:val="single" w:color="auto" w:sz="4" w:space="0"/>
              <w:left w:val="single" w:color="auto" w:sz="4" w:space="0"/>
              <w:bottom w:val="single" w:color="auto" w:sz="4" w:space="0"/>
              <w:right w:val="single" w:color="auto" w:sz="4" w:space="0"/>
            </w:tcBorders>
            <w:noWrap w:val="0"/>
            <w:vAlign w:val="center"/>
          </w:tcPr>
          <w:p w14:paraId="61EB1952">
            <w:pPr>
              <w:adjustRightInd w:val="0"/>
              <w:snapToGrid w:val="0"/>
              <w:spacing w:line="360" w:lineRule="auto"/>
              <w:rPr>
                <w:rFonts w:hint="eastAsia"/>
                <w:b w:val="0"/>
                <w:bCs w:val="0"/>
                <w:color w:val="auto"/>
                <w:sz w:val="24"/>
                <w:szCs w:val="24"/>
                <w:highlight w:val="none"/>
              </w:rPr>
            </w:pPr>
            <w:r>
              <w:rPr>
                <w:rFonts w:hint="eastAsia"/>
                <w:b w:val="0"/>
                <w:bCs w:val="0"/>
                <w:color w:val="auto"/>
                <w:sz w:val="24"/>
                <w:szCs w:val="24"/>
                <w:highlight w:val="none"/>
              </w:rPr>
              <w:t>项目实施人员情况：</w:t>
            </w:r>
          </w:p>
          <w:p w14:paraId="5CDF3B7F">
            <w:pPr>
              <w:adjustRightInd w:val="0"/>
              <w:snapToGrid w:val="0"/>
              <w:spacing w:line="360" w:lineRule="auto"/>
              <w:rPr>
                <w:rFonts w:hint="eastAsia"/>
                <w:b w:val="0"/>
                <w:bCs w:val="0"/>
                <w:color w:val="auto"/>
                <w:sz w:val="24"/>
                <w:szCs w:val="24"/>
                <w:highlight w:val="none"/>
              </w:rPr>
            </w:pPr>
            <w:r>
              <w:rPr>
                <w:rFonts w:hint="eastAsia"/>
                <w:b w:val="0"/>
                <w:bCs w:val="0"/>
                <w:color w:val="auto"/>
                <w:sz w:val="24"/>
                <w:szCs w:val="24"/>
                <w:highlight w:val="none"/>
              </w:rPr>
              <w:t>拟担任项目负责人的专业素质、技术能力、类似项目经验和业绩等情况：</w:t>
            </w:r>
            <w:r>
              <w:rPr>
                <w:rFonts w:hint="eastAsia"/>
                <w:b w:val="0"/>
                <w:bCs w:val="0"/>
                <w:color w:val="auto"/>
                <w:sz w:val="24"/>
                <w:szCs w:val="24"/>
                <w:highlight w:val="none"/>
                <w:lang w:val="en-US" w:eastAsia="zh-CN"/>
              </w:rPr>
              <w:t>拟派项目技术负责人</w:t>
            </w:r>
            <w:r>
              <w:rPr>
                <w:rFonts w:hint="eastAsia"/>
                <w:b w:val="0"/>
                <w:bCs w:val="0"/>
                <w:color w:val="auto"/>
                <w:sz w:val="24"/>
                <w:szCs w:val="24"/>
                <w:highlight w:val="none"/>
              </w:rPr>
              <w:t>具有中级及以上技术职称的，得2分。拟派主要实施人员（特别是涉及到高空作业人员）的专业素质、上岗证（或执业资格证书）、技术能力、类似项目经验和业绩等情况：0-4分。</w:t>
            </w:r>
          </w:p>
          <w:p w14:paraId="570228AD">
            <w:pPr>
              <w:adjustRightInd w:val="0"/>
              <w:snapToGrid w:val="0"/>
              <w:spacing w:line="360" w:lineRule="auto"/>
              <w:rPr>
                <w:rFonts w:hint="default" w:eastAsia="宋体"/>
                <w:color w:val="auto"/>
                <w:sz w:val="24"/>
                <w:szCs w:val="24"/>
                <w:lang w:val="en-US" w:eastAsia="zh-CN"/>
              </w:rPr>
            </w:pPr>
            <w:r>
              <w:rPr>
                <w:rFonts w:hint="eastAsia"/>
                <w:b w:val="0"/>
                <w:bCs w:val="0"/>
                <w:color w:val="auto"/>
                <w:sz w:val="24"/>
                <w:szCs w:val="24"/>
                <w:highlight w:val="none"/>
                <w:lang w:val="en-US" w:eastAsia="zh-CN"/>
              </w:rPr>
              <w:t>以上人员，需提供相应证书复印件及注册证书加盖公章，并配合其在公司近三个月连续缴纳社保证明，有依法不缴纳社保的，可相应说明。</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0037DAD6">
            <w:pPr>
              <w:adjustRightInd w:val="0"/>
              <w:snapToGrid w:val="0"/>
              <w:spacing w:line="360" w:lineRule="auto"/>
              <w:jc w:val="center"/>
              <w:rPr>
                <w:rFonts w:ascii="宋体" w:hAnsi="宋体"/>
                <w:color w:val="auto"/>
                <w:sz w:val="24"/>
                <w:szCs w:val="24"/>
              </w:rPr>
            </w:pPr>
            <w:r>
              <w:rPr>
                <w:rFonts w:hint="eastAsia" w:ascii="宋体" w:hAnsi="宋体"/>
                <w:color w:val="auto"/>
                <w:sz w:val="24"/>
                <w:szCs w:val="24"/>
                <w:lang w:val="en-US" w:eastAsia="zh-CN"/>
              </w:rPr>
              <w:t>6</w:t>
            </w:r>
            <w:r>
              <w:rPr>
                <w:rFonts w:hint="eastAsia" w:ascii="宋体" w:hAnsi="宋体"/>
                <w:color w:val="auto"/>
                <w:sz w:val="24"/>
                <w:szCs w:val="24"/>
              </w:rPr>
              <w:t>分</w:t>
            </w:r>
          </w:p>
        </w:tc>
      </w:tr>
      <w:tr w14:paraId="6088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851" w:type="dxa"/>
            <w:vMerge w:val="continue"/>
            <w:tcBorders>
              <w:left w:val="single" w:color="auto" w:sz="4" w:space="0"/>
              <w:right w:val="single" w:color="auto" w:sz="4" w:space="0"/>
            </w:tcBorders>
            <w:noWrap w:val="0"/>
            <w:vAlign w:val="center"/>
          </w:tcPr>
          <w:p w14:paraId="67D0E164">
            <w:pPr>
              <w:adjustRightInd w:val="0"/>
              <w:snapToGrid w:val="0"/>
              <w:spacing w:line="360" w:lineRule="auto"/>
              <w:jc w:val="center"/>
              <w:rPr>
                <w:rFonts w:hint="eastAsia" w:ascii="宋体" w:hAnsi="宋体"/>
                <w:color w:val="auto"/>
                <w:sz w:val="24"/>
                <w:szCs w:val="24"/>
              </w:rPr>
            </w:pPr>
          </w:p>
        </w:tc>
        <w:tc>
          <w:tcPr>
            <w:tcW w:w="1353" w:type="dxa"/>
            <w:vMerge w:val="continue"/>
            <w:tcBorders>
              <w:left w:val="single" w:color="auto" w:sz="4" w:space="0"/>
              <w:right w:val="single" w:color="auto" w:sz="4" w:space="0"/>
            </w:tcBorders>
            <w:noWrap w:val="0"/>
            <w:vAlign w:val="center"/>
          </w:tcPr>
          <w:p w14:paraId="58D85499">
            <w:pPr>
              <w:adjustRightInd w:val="0"/>
              <w:snapToGrid w:val="0"/>
              <w:spacing w:line="360" w:lineRule="auto"/>
              <w:jc w:val="center"/>
              <w:rPr>
                <w:rFonts w:hint="eastAsia" w:ascii="宋体" w:hAnsi="宋体"/>
                <w:color w:val="auto"/>
                <w:sz w:val="24"/>
                <w:szCs w:val="24"/>
              </w:rPr>
            </w:pPr>
          </w:p>
        </w:tc>
        <w:tc>
          <w:tcPr>
            <w:tcW w:w="5840" w:type="dxa"/>
            <w:tcBorders>
              <w:top w:val="single" w:color="auto" w:sz="4" w:space="0"/>
              <w:left w:val="single" w:color="auto" w:sz="4" w:space="0"/>
              <w:bottom w:val="single" w:color="auto" w:sz="4" w:space="0"/>
              <w:right w:val="single" w:color="auto" w:sz="4" w:space="0"/>
            </w:tcBorders>
            <w:noWrap w:val="0"/>
            <w:vAlign w:val="center"/>
          </w:tcPr>
          <w:p w14:paraId="41A49EB3">
            <w:pPr>
              <w:adjustRightInd w:val="0"/>
              <w:snapToGrid w:val="0"/>
              <w:spacing w:line="360" w:lineRule="auto"/>
              <w:rPr>
                <w:color w:val="auto"/>
                <w:sz w:val="24"/>
                <w:szCs w:val="24"/>
              </w:rPr>
            </w:pPr>
            <w:r>
              <w:rPr>
                <w:rFonts w:hint="eastAsia"/>
                <w:color w:val="auto"/>
                <w:sz w:val="24"/>
                <w:szCs w:val="24"/>
                <w:lang w:val="en-US" w:eastAsia="zh-CN"/>
              </w:rPr>
              <w:t>针对本项目发光字</w:t>
            </w:r>
            <w:r>
              <w:rPr>
                <w:rFonts w:hint="eastAsia"/>
                <w:color w:val="auto"/>
                <w:sz w:val="24"/>
                <w:szCs w:val="24"/>
              </w:rPr>
              <w:t>的验收标准和方法得当，具有针对性的，得</w:t>
            </w:r>
            <w:r>
              <w:rPr>
                <w:rFonts w:hint="eastAsia"/>
                <w:color w:val="auto"/>
                <w:sz w:val="24"/>
                <w:szCs w:val="24"/>
                <w:lang w:val="en-US" w:eastAsia="zh-CN"/>
              </w:rPr>
              <w:t>2</w:t>
            </w:r>
            <w:r>
              <w:rPr>
                <w:rFonts w:hint="eastAsia"/>
                <w:color w:val="auto"/>
                <w:sz w:val="24"/>
                <w:szCs w:val="24"/>
              </w:rPr>
              <w:t>分，其余情况0-</w:t>
            </w:r>
            <w:r>
              <w:rPr>
                <w:rFonts w:hint="eastAsia"/>
                <w:color w:val="auto"/>
                <w:sz w:val="24"/>
                <w:szCs w:val="24"/>
                <w:lang w:val="en-US" w:eastAsia="zh-CN"/>
              </w:rPr>
              <w:t>1</w:t>
            </w:r>
            <w:r>
              <w:rPr>
                <w:rFonts w:hint="eastAsia"/>
                <w:color w:val="auto"/>
                <w:sz w:val="24"/>
                <w:szCs w:val="24"/>
              </w:rPr>
              <w:t>分。</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513B74E8">
            <w:pPr>
              <w:adjustRightInd w:val="0"/>
              <w:snapToGrid w:val="0"/>
              <w:spacing w:line="360" w:lineRule="auto"/>
              <w:jc w:val="center"/>
              <w:rPr>
                <w:rFonts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分</w:t>
            </w:r>
          </w:p>
        </w:tc>
      </w:tr>
      <w:tr w14:paraId="1C6A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trPr>
        <w:tc>
          <w:tcPr>
            <w:tcW w:w="851" w:type="dxa"/>
            <w:vMerge w:val="continue"/>
            <w:tcBorders>
              <w:left w:val="single" w:color="auto" w:sz="4" w:space="0"/>
              <w:bottom w:val="single" w:color="auto" w:sz="4" w:space="0"/>
              <w:right w:val="single" w:color="auto" w:sz="4" w:space="0"/>
            </w:tcBorders>
            <w:noWrap w:val="0"/>
            <w:vAlign w:val="center"/>
          </w:tcPr>
          <w:p w14:paraId="08A3921F">
            <w:pPr>
              <w:adjustRightInd w:val="0"/>
              <w:snapToGrid w:val="0"/>
              <w:spacing w:line="360" w:lineRule="auto"/>
              <w:jc w:val="center"/>
              <w:rPr>
                <w:rFonts w:hint="eastAsia" w:ascii="宋体" w:hAnsi="宋体"/>
                <w:color w:val="auto"/>
                <w:sz w:val="24"/>
                <w:szCs w:val="24"/>
              </w:rPr>
            </w:pPr>
          </w:p>
        </w:tc>
        <w:tc>
          <w:tcPr>
            <w:tcW w:w="1353" w:type="dxa"/>
            <w:vMerge w:val="continue"/>
            <w:tcBorders>
              <w:left w:val="single" w:color="auto" w:sz="4" w:space="0"/>
              <w:bottom w:val="single" w:color="auto" w:sz="4" w:space="0"/>
              <w:right w:val="single" w:color="auto" w:sz="4" w:space="0"/>
            </w:tcBorders>
            <w:noWrap w:val="0"/>
            <w:vAlign w:val="center"/>
          </w:tcPr>
          <w:p w14:paraId="07B4A99D">
            <w:pPr>
              <w:adjustRightInd w:val="0"/>
              <w:snapToGrid w:val="0"/>
              <w:spacing w:line="360" w:lineRule="auto"/>
              <w:jc w:val="center"/>
              <w:rPr>
                <w:rFonts w:hint="eastAsia" w:ascii="宋体" w:hAnsi="宋体"/>
                <w:color w:val="auto"/>
                <w:sz w:val="24"/>
                <w:szCs w:val="24"/>
              </w:rPr>
            </w:pPr>
          </w:p>
        </w:tc>
        <w:tc>
          <w:tcPr>
            <w:tcW w:w="5840" w:type="dxa"/>
            <w:tcBorders>
              <w:top w:val="single" w:color="auto" w:sz="4" w:space="0"/>
              <w:left w:val="single" w:color="auto" w:sz="4" w:space="0"/>
              <w:bottom w:val="single" w:color="auto" w:sz="4" w:space="0"/>
              <w:right w:val="single" w:color="auto" w:sz="4" w:space="0"/>
            </w:tcBorders>
            <w:noWrap w:val="0"/>
            <w:vAlign w:val="center"/>
          </w:tcPr>
          <w:p w14:paraId="0593BF1C">
            <w:pPr>
              <w:adjustRightInd w:val="0"/>
              <w:snapToGrid w:val="0"/>
              <w:spacing w:line="360" w:lineRule="auto"/>
              <w:rPr>
                <w:rFonts w:hint="eastAsia" w:ascii="宋体" w:hAnsi="宋体"/>
                <w:color w:val="auto"/>
                <w:sz w:val="24"/>
                <w:szCs w:val="24"/>
              </w:rPr>
            </w:pPr>
            <w:r>
              <w:rPr>
                <w:rFonts w:hint="eastAsia" w:ascii="宋体" w:hAnsi="宋体"/>
                <w:color w:val="auto"/>
                <w:sz w:val="24"/>
                <w:szCs w:val="24"/>
              </w:rPr>
              <w:t>样品：根据招标文件要求对所提供的样品的材质、制造工艺，</w:t>
            </w:r>
            <w:r>
              <w:rPr>
                <w:rFonts w:hint="eastAsia" w:ascii="宋体" w:hAnsi="宋体" w:cs="宋体"/>
                <w:color w:val="auto"/>
                <w:sz w:val="24"/>
                <w:szCs w:val="24"/>
              </w:rPr>
              <w:t>样品的外观款式、美观度、色调搭配等视觉效果，</w:t>
            </w:r>
            <w:r>
              <w:rPr>
                <w:rFonts w:hint="eastAsia" w:ascii="宋体" w:hAnsi="宋体"/>
                <w:color w:val="auto"/>
                <w:sz w:val="24"/>
                <w:szCs w:val="24"/>
              </w:rPr>
              <w:t>以及实用性、适用性等情况比较后评分。</w:t>
            </w:r>
          </w:p>
          <w:p w14:paraId="642A01B0">
            <w:pPr>
              <w:adjustRightInd w:val="0"/>
              <w:snapToGrid w:val="0"/>
              <w:spacing w:line="360" w:lineRule="auto"/>
              <w:rPr>
                <w:rFonts w:hint="eastAsia" w:ascii="宋体" w:hAnsi="宋体"/>
                <w:color w:val="auto"/>
                <w:sz w:val="24"/>
                <w:szCs w:val="24"/>
              </w:rPr>
            </w:pPr>
            <w:r>
              <w:rPr>
                <w:rFonts w:hint="eastAsia" w:ascii="宋体" w:hAnsi="宋体"/>
                <w:color w:val="auto"/>
                <w:sz w:val="24"/>
                <w:szCs w:val="24"/>
              </w:rPr>
              <w:t>样品产品质量可靠、美观的得7-10分。</w:t>
            </w:r>
          </w:p>
          <w:p w14:paraId="1BB01140">
            <w:pPr>
              <w:adjustRightInd w:val="0"/>
              <w:snapToGrid w:val="0"/>
              <w:spacing w:line="360" w:lineRule="auto"/>
              <w:rPr>
                <w:rFonts w:hint="eastAsia" w:ascii="宋体" w:hAnsi="宋体"/>
                <w:color w:val="auto"/>
                <w:sz w:val="24"/>
                <w:szCs w:val="24"/>
              </w:rPr>
            </w:pPr>
            <w:r>
              <w:rPr>
                <w:rFonts w:hint="eastAsia" w:ascii="宋体" w:hAnsi="宋体"/>
                <w:color w:val="auto"/>
                <w:sz w:val="24"/>
                <w:szCs w:val="24"/>
              </w:rPr>
              <w:t>样品质量一般、美观度差的得4-7分。</w:t>
            </w:r>
          </w:p>
          <w:p w14:paraId="70627432">
            <w:pPr>
              <w:adjustRightInd w:val="0"/>
              <w:snapToGrid w:val="0"/>
              <w:spacing w:line="360" w:lineRule="auto"/>
              <w:rPr>
                <w:rFonts w:hint="eastAsia" w:ascii="宋体" w:hAnsi="宋体"/>
                <w:color w:val="auto"/>
                <w:sz w:val="24"/>
                <w:szCs w:val="24"/>
              </w:rPr>
            </w:pPr>
            <w:r>
              <w:rPr>
                <w:rFonts w:hint="eastAsia" w:ascii="宋体" w:hAnsi="宋体"/>
                <w:color w:val="auto"/>
                <w:sz w:val="24"/>
                <w:szCs w:val="24"/>
              </w:rPr>
              <w:t>样品质量差的得0-4分。</w:t>
            </w:r>
          </w:p>
          <w:p w14:paraId="12CF5CF8">
            <w:pPr>
              <w:adjustRightInd w:val="0"/>
              <w:snapToGrid w:val="0"/>
              <w:spacing w:line="360" w:lineRule="auto"/>
              <w:rPr>
                <w:rFonts w:hint="eastAsia" w:ascii="宋体" w:hAnsi="宋体"/>
                <w:color w:val="auto"/>
                <w:sz w:val="24"/>
                <w:szCs w:val="24"/>
              </w:rPr>
            </w:pPr>
            <w:r>
              <w:rPr>
                <w:rFonts w:hint="eastAsia" w:ascii="宋体" w:hAnsi="宋体"/>
                <w:color w:val="auto"/>
                <w:sz w:val="24"/>
                <w:szCs w:val="24"/>
              </w:rPr>
              <w:t>未提供样品的，本项不得分。</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2D2CBD85">
            <w:pPr>
              <w:adjustRightInd w:val="0"/>
              <w:snapToGrid w:val="0"/>
              <w:spacing w:line="360" w:lineRule="auto"/>
              <w:jc w:val="center"/>
              <w:rPr>
                <w:rFonts w:hint="eastAsia" w:ascii="宋体" w:hAnsi="宋体"/>
                <w:color w:val="auto"/>
                <w:sz w:val="24"/>
                <w:szCs w:val="24"/>
              </w:rPr>
            </w:pPr>
            <w:r>
              <w:rPr>
                <w:rFonts w:hint="eastAsia" w:ascii="宋体" w:hAnsi="宋体"/>
                <w:color w:val="auto"/>
                <w:sz w:val="24"/>
                <w:szCs w:val="24"/>
              </w:rPr>
              <w:t>10分</w:t>
            </w:r>
          </w:p>
        </w:tc>
      </w:tr>
      <w:tr w14:paraId="3B75F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8" w:hRule="atLeast"/>
        </w:trPr>
        <w:tc>
          <w:tcPr>
            <w:tcW w:w="851" w:type="dxa"/>
            <w:vMerge w:val="restart"/>
            <w:tcBorders>
              <w:top w:val="single" w:color="auto" w:sz="4" w:space="0"/>
              <w:left w:val="single" w:color="auto" w:sz="4" w:space="0"/>
              <w:right w:val="single" w:color="auto" w:sz="4" w:space="0"/>
            </w:tcBorders>
            <w:noWrap w:val="0"/>
            <w:vAlign w:val="center"/>
          </w:tcPr>
          <w:p w14:paraId="649F75E3">
            <w:pPr>
              <w:adjustRightInd w:val="0"/>
              <w:snapToGrid w:val="0"/>
              <w:spacing w:line="360" w:lineRule="auto"/>
              <w:jc w:val="center"/>
              <w:rPr>
                <w:rFonts w:hint="eastAsia" w:ascii="宋体" w:hAnsi="宋体"/>
                <w:color w:val="auto"/>
                <w:sz w:val="24"/>
                <w:szCs w:val="24"/>
              </w:rPr>
            </w:pPr>
            <w:r>
              <w:rPr>
                <w:rFonts w:hint="eastAsia" w:ascii="宋体" w:hAnsi="宋体"/>
                <w:color w:val="auto"/>
                <w:sz w:val="24"/>
                <w:szCs w:val="24"/>
              </w:rPr>
              <w:t>3</w:t>
            </w:r>
          </w:p>
        </w:tc>
        <w:tc>
          <w:tcPr>
            <w:tcW w:w="1353" w:type="dxa"/>
            <w:vMerge w:val="restart"/>
            <w:tcBorders>
              <w:top w:val="single" w:color="auto" w:sz="4" w:space="0"/>
              <w:left w:val="single" w:color="auto" w:sz="4" w:space="0"/>
              <w:right w:val="single" w:color="auto" w:sz="4" w:space="0"/>
            </w:tcBorders>
            <w:noWrap w:val="0"/>
            <w:vAlign w:val="center"/>
          </w:tcPr>
          <w:p w14:paraId="624CEDB7">
            <w:pPr>
              <w:adjustRightInd w:val="0"/>
              <w:snapToGrid w:val="0"/>
              <w:spacing w:line="360" w:lineRule="auto"/>
              <w:jc w:val="center"/>
              <w:rPr>
                <w:rFonts w:hint="eastAsia" w:ascii="宋体" w:hAnsi="宋体"/>
                <w:color w:val="auto"/>
                <w:sz w:val="24"/>
                <w:szCs w:val="24"/>
              </w:rPr>
            </w:pPr>
            <w:r>
              <w:rPr>
                <w:rFonts w:hint="eastAsia" w:ascii="宋体" w:hAnsi="宋体"/>
                <w:color w:val="auto"/>
                <w:sz w:val="24"/>
                <w:szCs w:val="24"/>
              </w:rPr>
              <w:t>售后服务</w:t>
            </w:r>
          </w:p>
          <w:p w14:paraId="73B65CE1">
            <w:pPr>
              <w:adjustRightInd w:val="0"/>
              <w:snapToGrid w:val="0"/>
              <w:spacing w:line="360" w:lineRule="auto"/>
              <w:jc w:val="center"/>
              <w:rPr>
                <w:rFonts w:hint="eastAsia" w:ascii="宋体" w:hAnsi="宋体"/>
                <w:color w:val="auto"/>
                <w:sz w:val="24"/>
                <w:szCs w:val="24"/>
              </w:rPr>
            </w:pPr>
            <w:r>
              <w:rPr>
                <w:rFonts w:hint="eastAsia" w:ascii="宋体" w:hAnsi="宋体"/>
                <w:color w:val="auto"/>
                <w:sz w:val="24"/>
                <w:szCs w:val="24"/>
              </w:rPr>
              <w:t>（1</w:t>
            </w:r>
            <w:r>
              <w:rPr>
                <w:rFonts w:hint="eastAsia" w:ascii="宋体" w:hAnsi="宋体"/>
                <w:color w:val="auto"/>
                <w:sz w:val="24"/>
                <w:szCs w:val="24"/>
                <w:lang w:val="en-US" w:eastAsia="zh-CN"/>
              </w:rPr>
              <w:t>0</w:t>
            </w:r>
            <w:r>
              <w:rPr>
                <w:rFonts w:hint="eastAsia" w:ascii="宋体" w:hAnsi="宋体"/>
                <w:color w:val="auto"/>
                <w:sz w:val="24"/>
                <w:szCs w:val="24"/>
              </w:rPr>
              <w:t>分）</w:t>
            </w:r>
          </w:p>
        </w:tc>
        <w:tc>
          <w:tcPr>
            <w:tcW w:w="5840" w:type="dxa"/>
            <w:tcBorders>
              <w:top w:val="single" w:color="auto" w:sz="4" w:space="0"/>
              <w:left w:val="single" w:color="auto" w:sz="4" w:space="0"/>
              <w:bottom w:val="single" w:color="auto" w:sz="4" w:space="0"/>
              <w:right w:val="single" w:color="auto" w:sz="4" w:space="0"/>
            </w:tcBorders>
            <w:noWrap w:val="0"/>
            <w:vAlign w:val="center"/>
          </w:tcPr>
          <w:p w14:paraId="110A9C41">
            <w:pPr>
              <w:adjustRightInd w:val="0"/>
              <w:snapToGrid w:val="0"/>
              <w:spacing w:line="360" w:lineRule="auto"/>
              <w:rPr>
                <w:rFonts w:ascii="宋体" w:hAnsi="宋体"/>
                <w:color w:val="auto"/>
                <w:sz w:val="24"/>
                <w:szCs w:val="24"/>
              </w:rPr>
            </w:pPr>
            <w:r>
              <w:rPr>
                <w:rFonts w:ascii="宋体" w:hAnsi="宋体"/>
                <w:color w:val="auto"/>
                <w:sz w:val="24"/>
                <w:szCs w:val="24"/>
              </w:rPr>
              <w:t>售后</w:t>
            </w:r>
            <w:r>
              <w:rPr>
                <w:rFonts w:hint="eastAsia" w:ascii="宋体" w:hAnsi="宋体"/>
                <w:color w:val="auto"/>
                <w:sz w:val="24"/>
                <w:szCs w:val="24"/>
              </w:rPr>
              <w:t>技术</w:t>
            </w:r>
            <w:r>
              <w:rPr>
                <w:rFonts w:ascii="宋体" w:hAnsi="宋体"/>
                <w:color w:val="auto"/>
                <w:sz w:val="24"/>
                <w:szCs w:val="24"/>
              </w:rPr>
              <w:t>服务保证能力</w:t>
            </w:r>
            <w:r>
              <w:rPr>
                <w:rFonts w:hint="eastAsia" w:ascii="宋体" w:hAnsi="宋体"/>
                <w:color w:val="auto"/>
                <w:sz w:val="24"/>
                <w:szCs w:val="24"/>
              </w:rPr>
              <w:t>及保证措施及相关的服务机构、服务内容、承诺的具体说明。</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4F0C1E7E">
            <w:pPr>
              <w:adjustRightInd w:val="0"/>
              <w:snapToGrid w:val="0"/>
              <w:spacing w:line="360" w:lineRule="auto"/>
              <w:jc w:val="center"/>
              <w:rPr>
                <w:rFonts w:hint="eastAsia" w:ascii="宋体" w:hAnsi="宋体"/>
                <w:color w:val="auto"/>
                <w:sz w:val="24"/>
                <w:szCs w:val="24"/>
              </w:rPr>
            </w:pPr>
            <w:r>
              <w:rPr>
                <w:rFonts w:hint="eastAsia" w:ascii="宋体" w:hAnsi="宋体"/>
                <w:color w:val="auto"/>
                <w:sz w:val="24"/>
                <w:szCs w:val="24"/>
                <w:lang w:val="en-US" w:eastAsia="zh-CN"/>
              </w:rPr>
              <w:t>5</w:t>
            </w:r>
            <w:r>
              <w:rPr>
                <w:rFonts w:hint="eastAsia" w:ascii="宋体" w:hAnsi="宋体"/>
                <w:color w:val="auto"/>
                <w:sz w:val="24"/>
                <w:szCs w:val="24"/>
              </w:rPr>
              <w:t>分</w:t>
            </w:r>
          </w:p>
        </w:tc>
      </w:tr>
      <w:tr w14:paraId="03AA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851" w:type="dxa"/>
            <w:vMerge w:val="continue"/>
            <w:tcBorders>
              <w:left w:val="single" w:color="auto" w:sz="4" w:space="0"/>
              <w:bottom w:val="single" w:color="auto" w:sz="4" w:space="0"/>
              <w:right w:val="single" w:color="auto" w:sz="4" w:space="0"/>
            </w:tcBorders>
            <w:noWrap w:val="0"/>
            <w:vAlign w:val="center"/>
          </w:tcPr>
          <w:p w14:paraId="7C87AEF0">
            <w:pPr>
              <w:adjustRightInd w:val="0"/>
              <w:snapToGrid w:val="0"/>
              <w:spacing w:line="360" w:lineRule="auto"/>
              <w:jc w:val="center"/>
              <w:rPr>
                <w:rFonts w:hint="eastAsia" w:ascii="宋体" w:hAnsi="宋体"/>
                <w:color w:val="auto"/>
                <w:sz w:val="24"/>
                <w:szCs w:val="24"/>
              </w:rPr>
            </w:pPr>
          </w:p>
        </w:tc>
        <w:tc>
          <w:tcPr>
            <w:tcW w:w="1353" w:type="dxa"/>
            <w:vMerge w:val="continue"/>
            <w:tcBorders>
              <w:left w:val="single" w:color="auto" w:sz="4" w:space="0"/>
              <w:right w:val="single" w:color="auto" w:sz="4" w:space="0"/>
            </w:tcBorders>
            <w:noWrap w:val="0"/>
            <w:vAlign w:val="center"/>
          </w:tcPr>
          <w:p w14:paraId="42C06846">
            <w:pPr>
              <w:adjustRightInd w:val="0"/>
              <w:snapToGrid w:val="0"/>
              <w:spacing w:line="360" w:lineRule="auto"/>
              <w:jc w:val="center"/>
              <w:rPr>
                <w:rFonts w:hint="eastAsia" w:ascii="宋体" w:hAnsi="宋体"/>
                <w:color w:val="auto"/>
                <w:sz w:val="24"/>
                <w:szCs w:val="24"/>
              </w:rPr>
            </w:pPr>
          </w:p>
        </w:tc>
        <w:tc>
          <w:tcPr>
            <w:tcW w:w="5840" w:type="dxa"/>
            <w:tcBorders>
              <w:top w:val="single" w:color="auto" w:sz="4" w:space="0"/>
              <w:left w:val="single" w:color="auto" w:sz="4" w:space="0"/>
              <w:bottom w:val="single" w:color="auto" w:sz="4" w:space="0"/>
              <w:right w:val="single" w:color="auto" w:sz="4" w:space="0"/>
            </w:tcBorders>
            <w:noWrap w:val="0"/>
            <w:vAlign w:val="center"/>
          </w:tcPr>
          <w:p w14:paraId="314CFB11">
            <w:pPr>
              <w:adjustRightInd w:val="0"/>
              <w:snapToGrid w:val="0"/>
              <w:spacing w:line="360" w:lineRule="auto"/>
              <w:rPr>
                <w:rFonts w:hint="eastAsia" w:ascii="宋体" w:hAnsi="宋体"/>
                <w:color w:val="auto"/>
                <w:sz w:val="24"/>
                <w:szCs w:val="24"/>
              </w:rPr>
            </w:pPr>
            <w:r>
              <w:rPr>
                <w:rFonts w:hint="eastAsia" w:ascii="宋体" w:hAnsi="宋体"/>
                <w:color w:val="auto"/>
                <w:sz w:val="24"/>
                <w:szCs w:val="24"/>
              </w:rPr>
              <w:t>质保期：质保期为</w:t>
            </w:r>
            <w:r>
              <w:rPr>
                <w:rFonts w:hint="eastAsia" w:ascii="宋体" w:hAnsi="宋体"/>
                <w:color w:val="auto"/>
                <w:sz w:val="24"/>
                <w:szCs w:val="24"/>
                <w:lang w:val="en-US" w:eastAsia="zh-CN"/>
              </w:rPr>
              <w:t>5</w:t>
            </w:r>
            <w:r>
              <w:rPr>
                <w:rFonts w:hint="eastAsia" w:ascii="宋体" w:hAnsi="宋体"/>
                <w:color w:val="auto"/>
                <w:sz w:val="24"/>
                <w:szCs w:val="24"/>
              </w:rPr>
              <w:t>年的得</w:t>
            </w:r>
            <w:r>
              <w:rPr>
                <w:rFonts w:hint="eastAsia" w:ascii="宋体" w:hAnsi="宋体"/>
                <w:color w:val="auto"/>
                <w:sz w:val="24"/>
                <w:szCs w:val="24"/>
                <w:lang w:val="en-US" w:eastAsia="zh-CN"/>
              </w:rPr>
              <w:t>0</w:t>
            </w:r>
            <w:r>
              <w:rPr>
                <w:rFonts w:hint="eastAsia" w:ascii="宋体" w:hAnsi="宋体"/>
                <w:color w:val="auto"/>
                <w:sz w:val="24"/>
                <w:szCs w:val="24"/>
              </w:rPr>
              <w:t>分，每增加1年得1分，本项最高得5分。</w:t>
            </w:r>
          </w:p>
        </w:tc>
        <w:tc>
          <w:tcPr>
            <w:tcW w:w="995" w:type="dxa"/>
            <w:tcBorders>
              <w:top w:val="single" w:color="auto" w:sz="4" w:space="0"/>
              <w:left w:val="single" w:color="auto" w:sz="4" w:space="0"/>
              <w:bottom w:val="single" w:color="auto" w:sz="4" w:space="0"/>
              <w:right w:val="single" w:color="auto" w:sz="4" w:space="0"/>
            </w:tcBorders>
            <w:noWrap w:val="0"/>
            <w:vAlign w:val="center"/>
          </w:tcPr>
          <w:p w14:paraId="7A7FDF67">
            <w:pPr>
              <w:adjustRightInd w:val="0"/>
              <w:snapToGrid w:val="0"/>
              <w:spacing w:line="360" w:lineRule="auto"/>
              <w:jc w:val="center"/>
              <w:rPr>
                <w:rFonts w:hint="eastAsia" w:ascii="宋体" w:hAnsi="宋体"/>
                <w:color w:val="auto"/>
                <w:sz w:val="24"/>
                <w:szCs w:val="24"/>
              </w:rPr>
            </w:pPr>
            <w:r>
              <w:rPr>
                <w:rFonts w:hint="eastAsia" w:ascii="宋体" w:hAnsi="宋体"/>
                <w:color w:val="auto"/>
                <w:sz w:val="24"/>
                <w:szCs w:val="24"/>
              </w:rPr>
              <w:t>5分</w:t>
            </w:r>
          </w:p>
        </w:tc>
      </w:tr>
    </w:tbl>
    <w:p w14:paraId="0390CF09">
      <w:pPr>
        <w:spacing w:line="360" w:lineRule="auto"/>
        <w:ind w:firstLine="480" w:firstLineChars="200"/>
        <w:rPr>
          <w:rFonts w:hint="eastAsia" w:ascii="宋体" w:hAnsi="宋体"/>
          <w:color w:val="auto"/>
          <w:sz w:val="24"/>
          <w:szCs w:val="24"/>
        </w:rPr>
      </w:pPr>
    </w:p>
    <w:p w14:paraId="50FF2977">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（二）报价评审   （满分</w:t>
      </w:r>
      <w:r>
        <w:rPr>
          <w:rFonts w:hint="eastAsia" w:ascii="宋体" w:hAnsi="宋体"/>
          <w:color w:val="auto"/>
          <w:sz w:val="24"/>
          <w:szCs w:val="24"/>
          <w:lang w:val="en-US" w:eastAsia="zh-CN"/>
        </w:rPr>
        <w:t>4</w:t>
      </w:r>
      <w:r>
        <w:rPr>
          <w:rFonts w:hint="eastAsia" w:ascii="宋体" w:hAnsi="宋体"/>
          <w:color w:val="auto"/>
          <w:sz w:val="24"/>
          <w:szCs w:val="24"/>
        </w:rPr>
        <w:t>0分）</w:t>
      </w:r>
    </w:p>
    <w:p w14:paraId="4A5D4515">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1、报价评分应在投标报价范围口径一致的评标价基础上进行。属招标文件和交底不清楚引起的投标报价内容和口径不一致者，则按有关规定统一调整投标报价内容和口径，计算出投标人的最终评标价。属投标人失误造成的报价差错和遗漏，将按不利于投标人的方式调整计入评标价。</w:t>
      </w:r>
    </w:p>
    <w:p w14:paraId="498BA02D">
      <w:pPr>
        <w:adjustRightInd w:val="0"/>
        <w:snapToGrid w:val="0"/>
        <w:spacing w:line="360" w:lineRule="auto"/>
        <w:ind w:firstLine="435"/>
        <w:rPr>
          <w:rFonts w:hint="eastAsia" w:ascii="宋体" w:hAnsi="宋体"/>
          <w:color w:val="auto"/>
          <w:sz w:val="24"/>
          <w:szCs w:val="24"/>
        </w:rPr>
      </w:pPr>
      <w:r>
        <w:rPr>
          <w:rFonts w:ascii="宋体" w:hAnsi="宋体"/>
          <w:color w:val="auto"/>
          <w:sz w:val="24"/>
          <w:szCs w:val="24"/>
        </w:rPr>
        <w:t>2、报价得分</w:t>
      </w:r>
      <w:r>
        <w:rPr>
          <w:rFonts w:hint="eastAsia" w:ascii="宋体" w:hAnsi="宋体"/>
          <w:color w:val="auto"/>
          <w:sz w:val="24"/>
          <w:szCs w:val="24"/>
        </w:rPr>
        <w:t>：</w:t>
      </w:r>
    </w:p>
    <w:p w14:paraId="38235B09">
      <w:pPr>
        <w:autoSpaceDE w:val="0"/>
        <w:autoSpaceDN w:val="0"/>
        <w:adjustRightInd w:val="0"/>
        <w:snapToGrid w:val="0"/>
        <w:spacing w:line="360" w:lineRule="auto"/>
        <w:ind w:firstLine="480" w:firstLineChars="200"/>
        <w:jc w:val="left"/>
        <w:rPr>
          <w:rFonts w:ascii="宋体" w:hAnsi="宋体" w:cs="Arial"/>
          <w:color w:val="auto"/>
          <w:kern w:val="0"/>
          <w:sz w:val="24"/>
          <w:szCs w:val="24"/>
        </w:rPr>
      </w:pPr>
      <w:r>
        <w:rPr>
          <w:rFonts w:hint="eastAsia" w:ascii="宋体" w:hAnsi="宋体" w:cs="Arial"/>
          <w:color w:val="auto"/>
          <w:kern w:val="0"/>
          <w:sz w:val="24"/>
          <w:szCs w:val="24"/>
        </w:rPr>
        <w:t>（</w:t>
      </w:r>
      <w:r>
        <w:rPr>
          <w:rFonts w:ascii="宋体" w:hAnsi="宋体" w:cs="Arial"/>
          <w:color w:val="auto"/>
          <w:kern w:val="0"/>
          <w:sz w:val="24"/>
          <w:szCs w:val="24"/>
        </w:rPr>
        <w:t>1</w:t>
      </w:r>
      <w:r>
        <w:rPr>
          <w:rFonts w:hint="eastAsia" w:ascii="宋体" w:hAnsi="宋体" w:cs="Arial"/>
          <w:color w:val="auto"/>
          <w:kern w:val="0"/>
          <w:sz w:val="24"/>
          <w:szCs w:val="24"/>
        </w:rPr>
        <w:t>）评分范围：通过符合性审查的所有投标文件进入评分范围。</w:t>
      </w:r>
    </w:p>
    <w:p w14:paraId="357401AB">
      <w:pPr>
        <w:autoSpaceDE w:val="0"/>
        <w:autoSpaceDN w:val="0"/>
        <w:adjustRightInd w:val="0"/>
        <w:snapToGrid w:val="0"/>
        <w:spacing w:line="360" w:lineRule="auto"/>
        <w:ind w:firstLine="480" w:firstLineChars="200"/>
        <w:jc w:val="left"/>
        <w:rPr>
          <w:rFonts w:hint="eastAsia" w:ascii="宋体" w:hAnsi="宋体" w:cs="Arial"/>
          <w:color w:val="auto"/>
          <w:kern w:val="0"/>
          <w:sz w:val="24"/>
          <w:szCs w:val="24"/>
        </w:rPr>
      </w:pPr>
      <w:r>
        <w:rPr>
          <w:rFonts w:hint="eastAsia" w:ascii="宋体" w:hAnsi="宋体" w:cs="Arial"/>
          <w:color w:val="auto"/>
          <w:kern w:val="0"/>
          <w:sz w:val="24"/>
          <w:szCs w:val="24"/>
        </w:rPr>
        <w:t>（</w:t>
      </w:r>
      <w:r>
        <w:rPr>
          <w:rFonts w:ascii="宋体" w:hAnsi="宋体" w:cs="Arial"/>
          <w:color w:val="auto"/>
          <w:kern w:val="0"/>
          <w:sz w:val="24"/>
          <w:szCs w:val="24"/>
        </w:rPr>
        <w:t>2</w:t>
      </w:r>
      <w:r>
        <w:rPr>
          <w:rFonts w:hint="eastAsia" w:ascii="宋体" w:hAnsi="宋体" w:cs="Arial"/>
          <w:color w:val="auto"/>
          <w:kern w:val="0"/>
          <w:sz w:val="24"/>
          <w:szCs w:val="24"/>
        </w:rPr>
        <w:t>）评标基准价：进入评分范围的投标评标价的算术平均值为评标基准价</w:t>
      </w:r>
    </w:p>
    <w:p w14:paraId="7FBFB3D5">
      <w:pPr>
        <w:autoSpaceDE w:val="0"/>
        <w:autoSpaceDN w:val="0"/>
        <w:adjustRightInd w:val="0"/>
        <w:snapToGrid w:val="0"/>
        <w:spacing w:line="360" w:lineRule="auto"/>
        <w:ind w:firstLine="480" w:firstLineChars="200"/>
        <w:jc w:val="left"/>
        <w:rPr>
          <w:rFonts w:ascii="宋体" w:hAnsi="宋体" w:cs="Arial"/>
          <w:color w:val="auto"/>
          <w:kern w:val="0"/>
          <w:sz w:val="24"/>
          <w:szCs w:val="24"/>
        </w:rPr>
      </w:pPr>
      <w:r>
        <w:rPr>
          <w:rFonts w:hint="eastAsia" w:ascii="宋体" w:hAnsi="宋体" w:cs="Arial"/>
          <w:color w:val="auto"/>
          <w:kern w:val="0"/>
          <w:sz w:val="24"/>
          <w:szCs w:val="24"/>
        </w:rPr>
        <w:t>（3）根据投标文件的投标评标价与评标基准价对比，计算投标人的商务报价的得分值。即：</w:t>
      </w:r>
    </w:p>
    <w:p w14:paraId="0AD6E8F7">
      <w:pPr>
        <w:autoSpaceDE w:val="0"/>
        <w:autoSpaceDN w:val="0"/>
        <w:adjustRightInd w:val="0"/>
        <w:snapToGrid w:val="0"/>
        <w:spacing w:line="360" w:lineRule="auto"/>
        <w:ind w:firstLine="480" w:firstLineChars="200"/>
        <w:jc w:val="left"/>
        <w:rPr>
          <w:rFonts w:ascii="宋体" w:hAnsi="宋体" w:cs="Arial"/>
          <w:color w:val="auto"/>
          <w:kern w:val="0"/>
          <w:sz w:val="24"/>
          <w:szCs w:val="24"/>
        </w:rPr>
      </w:pPr>
      <w:r>
        <w:rPr>
          <w:rFonts w:ascii="宋体" w:hAnsi="宋体" w:cs="Arial"/>
          <w:color w:val="auto"/>
          <w:kern w:val="0"/>
          <w:sz w:val="24"/>
          <w:szCs w:val="24"/>
        </w:rPr>
        <w:t>a.</w:t>
      </w:r>
      <w:r>
        <w:rPr>
          <w:rFonts w:hint="eastAsia" w:ascii="宋体" w:hAnsi="宋体" w:cs="Arial"/>
          <w:color w:val="auto"/>
          <w:kern w:val="0"/>
          <w:sz w:val="24"/>
          <w:szCs w:val="24"/>
        </w:rPr>
        <w:t>投标评标价等于评标基准价时，得</w:t>
      </w:r>
      <w:r>
        <w:rPr>
          <w:rFonts w:hint="eastAsia" w:ascii="宋体" w:hAnsi="宋体" w:cs="Arial"/>
          <w:color w:val="auto"/>
          <w:kern w:val="0"/>
          <w:sz w:val="24"/>
          <w:szCs w:val="24"/>
          <w:lang w:val="en-US" w:eastAsia="zh-CN"/>
        </w:rPr>
        <w:t>4</w:t>
      </w:r>
      <w:r>
        <w:rPr>
          <w:rFonts w:hint="eastAsia" w:ascii="宋体" w:hAnsi="宋体" w:cs="Arial"/>
          <w:color w:val="auto"/>
          <w:kern w:val="0"/>
          <w:sz w:val="24"/>
          <w:szCs w:val="24"/>
        </w:rPr>
        <w:t>0分；</w:t>
      </w:r>
    </w:p>
    <w:p w14:paraId="0FA2BF8D">
      <w:pPr>
        <w:autoSpaceDE w:val="0"/>
        <w:autoSpaceDN w:val="0"/>
        <w:adjustRightInd w:val="0"/>
        <w:snapToGrid w:val="0"/>
        <w:spacing w:line="360" w:lineRule="auto"/>
        <w:ind w:firstLine="480" w:firstLineChars="200"/>
        <w:jc w:val="left"/>
        <w:rPr>
          <w:rFonts w:ascii="宋体" w:hAnsi="宋体" w:cs="Arial"/>
          <w:color w:val="auto"/>
          <w:kern w:val="0"/>
          <w:sz w:val="24"/>
          <w:szCs w:val="24"/>
        </w:rPr>
      </w:pPr>
      <w:r>
        <w:rPr>
          <w:rFonts w:ascii="宋体" w:hAnsi="宋体" w:cs="Arial"/>
          <w:color w:val="auto"/>
          <w:kern w:val="0"/>
          <w:sz w:val="24"/>
          <w:szCs w:val="24"/>
        </w:rPr>
        <w:t>b.</w:t>
      </w:r>
      <w:r>
        <w:rPr>
          <w:rFonts w:hint="eastAsia" w:ascii="宋体" w:hAnsi="宋体" w:cs="Arial"/>
          <w:color w:val="auto"/>
          <w:kern w:val="0"/>
          <w:sz w:val="24"/>
          <w:szCs w:val="24"/>
        </w:rPr>
        <w:t>投标评标价每低于评标基准价</w:t>
      </w:r>
      <w:r>
        <w:rPr>
          <w:rFonts w:ascii="宋体" w:hAnsi="宋体" w:cs="Arial"/>
          <w:color w:val="auto"/>
          <w:kern w:val="0"/>
          <w:sz w:val="24"/>
          <w:szCs w:val="24"/>
        </w:rPr>
        <w:t>1</w:t>
      </w:r>
      <w:r>
        <w:rPr>
          <w:rFonts w:hint="eastAsia" w:ascii="宋体" w:hAnsi="宋体" w:cs="Arial"/>
          <w:color w:val="auto"/>
          <w:kern w:val="0"/>
          <w:sz w:val="24"/>
          <w:szCs w:val="24"/>
        </w:rPr>
        <w:t>个百分点，扣0.</w:t>
      </w:r>
      <w:r>
        <w:rPr>
          <w:rFonts w:hint="eastAsia" w:ascii="宋体" w:hAnsi="宋体" w:cs="Arial"/>
          <w:color w:val="auto"/>
          <w:kern w:val="0"/>
          <w:sz w:val="24"/>
          <w:szCs w:val="24"/>
          <w:lang w:val="en-US" w:eastAsia="zh-CN"/>
        </w:rPr>
        <w:t>2</w:t>
      </w:r>
      <w:r>
        <w:rPr>
          <w:rFonts w:hint="eastAsia" w:ascii="宋体" w:hAnsi="宋体" w:cs="Arial"/>
          <w:color w:val="auto"/>
          <w:kern w:val="0"/>
          <w:sz w:val="24"/>
          <w:szCs w:val="24"/>
        </w:rPr>
        <w:t>分；</w:t>
      </w:r>
    </w:p>
    <w:p w14:paraId="70BBC50F">
      <w:pPr>
        <w:autoSpaceDE w:val="0"/>
        <w:autoSpaceDN w:val="0"/>
        <w:adjustRightInd w:val="0"/>
        <w:snapToGrid w:val="0"/>
        <w:spacing w:line="360" w:lineRule="auto"/>
        <w:ind w:firstLine="480" w:firstLineChars="200"/>
        <w:jc w:val="left"/>
        <w:rPr>
          <w:rFonts w:ascii="宋体" w:hAnsi="宋体" w:cs="Arial"/>
          <w:color w:val="auto"/>
          <w:kern w:val="0"/>
          <w:sz w:val="24"/>
          <w:szCs w:val="24"/>
        </w:rPr>
      </w:pPr>
      <w:r>
        <w:rPr>
          <w:rFonts w:ascii="宋体" w:hAnsi="宋体" w:cs="Arial"/>
          <w:color w:val="auto"/>
          <w:kern w:val="0"/>
          <w:sz w:val="24"/>
          <w:szCs w:val="24"/>
        </w:rPr>
        <w:t>c.</w:t>
      </w:r>
      <w:r>
        <w:rPr>
          <w:rFonts w:hint="eastAsia" w:ascii="宋体" w:hAnsi="宋体" w:cs="Arial"/>
          <w:color w:val="auto"/>
          <w:kern w:val="0"/>
          <w:sz w:val="24"/>
          <w:szCs w:val="24"/>
        </w:rPr>
        <w:t>投标评标价每高于评标基准价</w:t>
      </w:r>
      <w:r>
        <w:rPr>
          <w:rFonts w:ascii="宋体" w:hAnsi="宋体" w:cs="Arial"/>
          <w:color w:val="auto"/>
          <w:kern w:val="0"/>
          <w:sz w:val="24"/>
          <w:szCs w:val="24"/>
        </w:rPr>
        <w:t>1</w:t>
      </w:r>
      <w:r>
        <w:rPr>
          <w:rFonts w:hint="eastAsia" w:ascii="宋体" w:hAnsi="宋体" w:cs="Arial"/>
          <w:color w:val="auto"/>
          <w:kern w:val="0"/>
          <w:sz w:val="24"/>
          <w:szCs w:val="24"/>
        </w:rPr>
        <w:t>个百分点，扣</w:t>
      </w:r>
      <w:r>
        <w:rPr>
          <w:rFonts w:hint="eastAsia" w:ascii="宋体" w:hAnsi="宋体" w:cs="Arial"/>
          <w:color w:val="auto"/>
          <w:kern w:val="0"/>
          <w:sz w:val="24"/>
          <w:szCs w:val="24"/>
          <w:lang w:val="en-US" w:eastAsia="zh-CN"/>
        </w:rPr>
        <w:t>0.5</w:t>
      </w:r>
      <w:r>
        <w:rPr>
          <w:rFonts w:hint="eastAsia" w:ascii="宋体" w:hAnsi="宋体" w:cs="Arial"/>
          <w:color w:val="auto"/>
          <w:kern w:val="0"/>
          <w:sz w:val="24"/>
          <w:szCs w:val="24"/>
        </w:rPr>
        <w:t>分。</w:t>
      </w:r>
    </w:p>
    <w:p w14:paraId="3B7FDC52">
      <w:pPr>
        <w:autoSpaceDE w:val="0"/>
        <w:autoSpaceDN w:val="0"/>
        <w:adjustRightInd w:val="0"/>
        <w:snapToGrid w:val="0"/>
        <w:spacing w:line="360" w:lineRule="auto"/>
        <w:ind w:firstLine="480" w:firstLineChars="200"/>
        <w:jc w:val="left"/>
        <w:rPr>
          <w:rFonts w:ascii="宋体" w:hAnsi="宋体" w:cs="Arial"/>
          <w:color w:val="auto"/>
          <w:kern w:val="0"/>
          <w:sz w:val="24"/>
          <w:szCs w:val="24"/>
        </w:rPr>
      </w:pPr>
      <w:r>
        <w:rPr>
          <w:rFonts w:hint="eastAsia" w:ascii="宋体" w:hAnsi="宋体" w:cs="Arial"/>
          <w:color w:val="auto"/>
          <w:kern w:val="0"/>
          <w:sz w:val="24"/>
          <w:szCs w:val="24"/>
        </w:rPr>
        <w:t>以上报价得分不足一个百分点时，使用直线插入法计算，保留小数</w:t>
      </w:r>
      <w:r>
        <w:rPr>
          <w:rFonts w:ascii="宋体" w:hAnsi="宋体" w:cs="Arial"/>
          <w:color w:val="auto"/>
          <w:kern w:val="0"/>
          <w:sz w:val="24"/>
          <w:szCs w:val="24"/>
        </w:rPr>
        <w:t>2</w:t>
      </w:r>
      <w:r>
        <w:rPr>
          <w:rFonts w:hint="eastAsia" w:ascii="宋体" w:hAnsi="宋体" w:cs="Arial"/>
          <w:color w:val="auto"/>
          <w:kern w:val="0"/>
          <w:sz w:val="24"/>
          <w:szCs w:val="24"/>
        </w:rPr>
        <w:t>位。</w:t>
      </w:r>
    </w:p>
    <w:p w14:paraId="15BF9D61">
      <w:pPr>
        <w:spacing w:line="360" w:lineRule="auto"/>
        <w:ind w:firstLine="480" w:firstLineChars="200"/>
        <w:rPr>
          <w:rFonts w:hint="eastAsia" w:ascii="宋体" w:hAnsi="宋体"/>
          <w:color w:val="auto"/>
          <w:sz w:val="24"/>
          <w:szCs w:val="24"/>
        </w:rPr>
      </w:pPr>
      <w:r>
        <w:rPr>
          <w:rFonts w:hint="eastAsia" w:ascii="宋体" w:hAnsi="宋体"/>
          <w:color w:val="auto"/>
          <w:sz w:val="24"/>
          <w:szCs w:val="24"/>
        </w:rPr>
        <w:t>（三）</w:t>
      </w:r>
      <w:r>
        <w:rPr>
          <w:rFonts w:ascii="宋体" w:hAnsi="宋体"/>
          <w:color w:val="auto"/>
          <w:sz w:val="24"/>
          <w:szCs w:val="24"/>
        </w:rPr>
        <w:t>投标人的综合得分为</w:t>
      </w:r>
      <w:r>
        <w:rPr>
          <w:rFonts w:hint="eastAsia" w:ascii="宋体" w:hAnsi="宋体"/>
          <w:color w:val="auto"/>
          <w:sz w:val="24"/>
          <w:szCs w:val="24"/>
        </w:rPr>
        <w:t>以上各部分得分</w:t>
      </w:r>
      <w:r>
        <w:rPr>
          <w:rFonts w:ascii="宋体" w:hAnsi="宋体"/>
          <w:color w:val="auto"/>
          <w:sz w:val="24"/>
          <w:szCs w:val="24"/>
        </w:rPr>
        <w:t>的总和。</w:t>
      </w:r>
    </w:p>
    <w:p w14:paraId="048FAB5A">
      <w:pPr>
        <w:pStyle w:val="17"/>
        <w:widowControl w:val="0"/>
        <w:adjustRightInd w:val="0"/>
        <w:snapToGrid w:val="0"/>
        <w:spacing w:before="0" w:beforeAutospacing="0" w:after="0" w:afterAutospacing="0" w:line="360" w:lineRule="auto"/>
        <w:jc w:val="both"/>
        <w:rPr>
          <w:rFonts w:hint="eastAsia" w:ascii="宋体" w:hAnsi="宋体" w:eastAsia="宋体" w:cs="宋体"/>
          <w:b/>
          <w:bCs/>
          <w:color w:val="000000"/>
          <w:sz w:val="52"/>
          <w:szCs w:val="52"/>
          <w:highlight w:val="none"/>
          <w:lang w:val="en-US" w:eastAsia="zh-CN"/>
        </w:rPr>
      </w:pPr>
    </w:p>
    <w:sectPr>
      <w:headerReference r:id="rId4" w:type="first"/>
      <w:footerReference r:id="rId7" w:type="first"/>
      <w:headerReference r:id="rId3" w:type="default"/>
      <w:footerReference r:id="rId5" w:type="default"/>
      <w:footerReference r:id="rId6" w:type="even"/>
      <w:pgSz w:w="11906" w:h="16838"/>
      <w:pgMar w:top="0" w:right="1106" w:bottom="28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_x000B__x000C_">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D0F35">
    <w:pPr>
      <w:pStyle w:val="13"/>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F1D025C">
                          <w:pPr>
                            <w:pStyle w:val="13"/>
                            <w:rPr>
                              <w:rStyle w:val="23"/>
                            </w:rPr>
                          </w:pPr>
                          <w:r>
                            <w:fldChar w:fldCharType="begin"/>
                          </w:r>
                          <w:r>
                            <w:rPr>
                              <w:rStyle w:val="23"/>
                            </w:rPr>
                            <w:instrText xml:space="preserve">PAGE  </w:instrText>
                          </w:r>
                          <w:r>
                            <w:fldChar w:fldCharType="separate"/>
                          </w:r>
                          <w:r>
                            <w:rPr>
                              <w:rStyle w:val="23"/>
                            </w:rPr>
                            <w:t>- 2 -</w:t>
                          </w:r>
                          <w:r>
                            <w:fldChar w:fldCharType="end"/>
                          </w:r>
                        </w:p>
                      </w:txbxContent>
                    </wps:txbx>
                    <wps:bodyPr wrap="none" lIns="0" tIns="0" rIns="0" bIns="0" upright="0">
                      <a:spAutoFit/>
                    </wps:bodyPr>
                  </wps:wsp>
                </a:graphicData>
              </a:graphic>
            </wp:anchor>
          </w:drawing>
        </mc:Choice>
        <mc:Fallback>
          <w:pict>
            <v:shape id="文本框 205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eQmD3SAQAApgMAAA4AAABkcnMvZTJvRG9jLnhtbK1TzY7TMBC+&#10;I/EOlu802UqFKGq6WlQtQkKAtOwDuI7dWPKfPG6TvgC8AScu3HmuPgdjJ2nRctnDXpwZz/ib+b6Z&#10;rG8Ho8lRBFDONvRmUVIiLHetsvuGPn67f1NRApHZlmlnRUNPAujt5vWrde9rsXSd060IBEEs1L1v&#10;aBejr4sCeCcMg4XzwmJQumBYRDfsizawHtGNLpZl+bboXWh9cFwA4O12DNIJMTwH0EmpuNg6fjDC&#10;xhE1CM0iUoJOeaCb3K2UgscvUoKIRDcUmcZ8YhG0d+ksNmtW7wPzneJTC+w5LTzhZJiyWPQCtWWR&#10;kUNQ/0EZxYMDJ+OCO1OMRLIiyOKmfKLNQ8e8yFxQavAX0eHlYPnn49dAVIubQIllBgd+/vnj/OvP&#10;+fd3sixXWaHeQ42JDx5T4/DeDSkblUv3gJeJ+CCDSV+kRDCO+p4u+oohEp4eVcuqKjHEMTY7iFNc&#10;n/sA8YNwhiSjoQEHmHVlx08Qx9Q5JVWz7l5pnYeoLekRdVW9W+UXlxCia4tFrt0mKw67YaKwc+0J&#10;mfW4BQ21uPSU6I8WRU4LMxthNnazcfBB7bu8UakV8HeHiO3kLlOFEXYqjOPLPKdVS/vxr5+zrr/X&#10;5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J5CYPdIBAACmAwAADgAAAAAAAAABACAAAAAi&#10;AQAAZHJzL2Uyb0RvYy54bWxQSwUGAAAAAAYABgBZAQAAZgUAAAAA&#10;">
              <v:fill on="f" focussize="0,0"/>
              <v:stroke on="f" weight="1.25pt"/>
              <v:imagedata o:title=""/>
              <o:lock v:ext="edit" aspectratio="f"/>
              <v:textbox inset="0mm,0mm,0mm,0mm" style="mso-fit-shape-to-text:t;">
                <w:txbxContent>
                  <w:p w14:paraId="7F1D025C">
                    <w:pPr>
                      <w:pStyle w:val="13"/>
                      <w:rPr>
                        <w:rStyle w:val="23"/>
                      </w:rPr>
                    </w:pPr>
                    <w:r>
                      <w:fldChar w:fldCharType="begin"/>
                    </w:r>
                    <w:r>
                      <w:rPr>
                        <w:rStyle w:val="23"/>
                      </w:rPr>
                      <w:instrText xml:space="preserve">PAGE  </w:instrText>
                    </w:r>
                    <w:r>
                      <w:fldChar w:fldCharType="separate"/>
                    </w:r>
                    <w:r>
                      <w:rPr>
                        <w:rStyle w:val="23"/>
                      </w:rPr>
                      <w:t>- 2 -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8BEB2">
    <w:pPr>
      <w:pStyle w:val="13"/>
      <w:framePr w:wrap="around" w:vAnchor="text" w:hAnchor="margin" w:xAlign="center" w:y="1"/>
      <w:rPr>
        <w:rStyle w:val="23"/>
      </w:rPr>
    </w:pPr>
    <w:r>
      <w:fldChar w:fldCharType="begin"/>
    </w:r>
    <w:r>
      <w:rPr>
        <w:rStyle w:val="23"/>
      </w:rPr>
      <w:instrText xml:space="preserve">PAGE  </w:instrText>
    </w:r>
    <w:r>
      <w:fldChar w:fldCharType="end"/>
    </w:r>
  </w:p>
  <w:p w14:paraId="6EB4B6EB">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72299">
    <w:pPr>
      <w:pStyle w:val="13"/>
      <w:framePr w:wrap="around" w:vAnchor="text" w:hAnchor="margin" w:xAlign="center" w:y="1"/>
      <w:rPr>
        <w:rStyle w:val="23"/>
      </w:rPr>
    </w:pPr>
  </w:p>
  <w:p w14:paraId="61400516">
    <w:pPr>
      <w:pStyle w:val="13"/>
      <w:jc w:val="center"/>
      <w:rPr>
        <w:rFonts w:hint="eastAsia"/>
      </w:rPr>
    </w:pPr>
    <w:r>
      <w:fldChar w:fldCharType="begin"/>
    </w:r>
    <w:r>
      <w:rPr>
        <w:rStyle w:val="23"/>
      </w:rPr>
      <w:instrText xml:space="preserve"> PAGE </w:instrText>
    </w:r>
    <w:r>
      <w:fldChar w:fldCharType="separate"/>
    </w:r>
    <w:r>
      <w:rPr>
        <w:rStyle w:val="23"/>
      </w:rPr>
      <w:t>- 15 -</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962DC">
    <w:pPr>
      <w:pStyle w:val="14"/>
      <w:pBdr>
        <w:between w:val="single" w:color="4F81BD" w:sz="4" w:space="1"/>
      </w:pBdr>
      <w:spacing w:line="276" w:lineRule="auto"/>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AA157">
    <w:pPr>
      <w:pStyle w:val="14"/>
      <w:rPr>
        <w:rFonts w:hint="eastAsia"/>
        <w:kern w:val="0"/>
        <w:szCs w:val="21"/>
        <w:u w:val="single"/>
      </w:rPr>
    </w:pPr>
  </w:p>
  <w:p w14:paraId="246047FF">
    <w:pPr>
      <w:jc w:val="center"/>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4229E"/>
    <w:multiLevelType w:val="singleLevel"/>
    <w:tmpl w:val="9484229E"/>
    <w:lvl w:ilvl="0" w:tentative="0">
      <w:start w:val="1"/>
      <w:numFmt w:val="decimal"/>
      <w:suff w:val="nothing"/>
      <w:lvlText w:val="%1、"/>
      <w:lvlJc w:val="left"/>
    </w:lvl>
  </w:abstractNum>
  <w:abstractNum w:abstractNumId="1">
    <w:nsid w:val="A7224EEC"/>
    <w:multiLevelType w:val="singleLevel"/>
    <w:tmpl w:val="A7224EEC"/>
    <w:lvl w:ilvl="0" w:tentative="0">
      <w:start w:val="1"/>
      <w:numFmt w:val="decimal"/>
      <w:suff w:val="nothing"/>
      <w:lvlText w:val="%1、"/>
      <w:lvlJc w:val="left"/>
    </w:lvl>
  </w:abstractNum>
  <w:abstractNum w:abstractNumId="2">
    <w:nsid w:val="BC848E12"/>
    <w:multiLevelType w:val="singleLevel"/>
    <w:tmpl w:val="BC848E12"/>
    <w:lvl w:ilvl="0" w:tentative="0">
      <w:start w:val="1"/>
      <w:numFmt w:val="decimal"/>
      <w:suff w:val="nothing"/>
      <w:lvlText w:val="（%1）"/>
      <w:lvlJc w:val="left"/>
      <w:pPr>
        <w:ind w:left="360" w:leftChars="0" w:firstLine="0" w:firstLineChars="0"/>
      </w:pPr>
    </w:lvl>
  </w:abstractNum>
  <w:abstractNum w:abstractNumId="3">
    <w:nsid w:val="3A5AB4FB"/>
    <w:multiLevelType w:val="singleLevel"/>
    <w:tmpl w:val="3A5AB4FB"/>
    <w:lvl w:ilvl="0" w:tentative="0">
      <w:start w:val="2"/>
      <w:numFmt w:val="decimal"/>
      <w:suff w:val="nothing"/>
      <w:lvlText w:val="%1、"/>
      <w:lvlJc w:val="left"/>
      <w:pPr>
        <w:ind w:left="960" w:firstLine="0"/>
      </w:pPr>
    </w:lvl>
  </w:abstractNum>
  <w:abstractNum w:abstractNumId="4">
    <w:nsid w:val="4058B945"/>
    <w:multiLevelType w:val="singleLevel"/>
    <w:tmpl w:val="4058B945"/>
    <w:lvl w:ilvl="0" w:tentative="0">
      <w:start w:val="3"/>
      <w:numFmt w:val="chineseCounting"/>
      <w:suff w:val="space"/>
      <w:lvlText w:val="第%1部分"/>
      <w:lvlJc w:val="left"/>
      <w:rPr>
        <w:rFonts w:hint="eastAsia"/>
      </w:rPr>
    </w:lvl>
  </w:abstractNum>
  <w:abstractNum w:abstractNumId="5">
    <w:nsid w:val="63FEDAEE"/>
    <w:multiLevelType w:val="singleLevel"/>
    <w:tmpl w:val="63FEDAEE"/>
    <w:lvl w:ilvl="0" w:tentative="0">
      <w:start w:val="1"/>
      <w:numFmt w:val="chineseCounting"/>
      <w:suff w:val="space"/>
      <w:lvlText w:val="%1、"/>
      <w:lvlJc w:val="left"/>
      <w:rPr>
        <w:rFonts w:hint="eastAsia"/>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45"/>
  <w:displayHorizontalDrawingGridEvery w:val="1"/>
  <w:displayVerticalDrawingGridEvery w:val="1"/>
  <w:noPunctuationKerning w:val="1"/>
  <w:characterSpacingControl w:val="compressPunctuation"/>
  <w:doNotValidateAgainstSchema/>
  <w:doNotDemarcateInvalidXml/>
  <w:hdrShapeDefaults>
    <o:shapelayout v:ext="edit">
      <o:idmap v:ext="edit" data="1,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NmI2NmU2MzVkNjJkYTJmM2U1ZWE0YzBhNjA4ODAifQ=="/>
  </w:docVars>
  <w:rsids>
    <w:rsidRoot w:val="00381829"/>
    <w:rsid w:val="00000F7C"/>
    <w:rsid w:val="000011D1"/>
    <w:rsid w:val="00001D32"/>
    <w:rsid w:val="00002F9A"/>
    <w:rsid w:val="00003527"/>
    <w:rsid w:val="0000596D"/>
    <w:rsid w:val="00007C32"/>
    <w:rsid w:val="00007E64"/>
    <w:rsid w:val="00011FA1"/>
    <w:rsid w:val="00012CF0"/>
    <w:rsid w:val="00013489"/>
    <w:rsid w:val="00013A62"/>
    <w:rsid w:val="00013BAD"/>
    <w:rsid w:val="00015D57"/>
    <w:rsid w:val="00016581"/>
    <w:rsid w:val="00016EA4"/>
    <w:rsid w:val="00016EBF"/>
    <w:rsid w:val="00016FF2"/>
    <w:rsid w:val="00017888"/>
    <w:rsid w:val="00017AD5"/>
    <w:rsid w:val="000227D2"/>
    <w:rsid w:val="00024158"/>
    <w:rsid w:val="0002433B"/>
    <w:rsid w:val="00024BBC"/>
    <w:rsid w:val="00025CA3"/>
    <w:rsid w:val="00025DE1"/>
    <w:rsid w:val="0002736A"/>
    <w:rsid w:val="000309A9"/>
    <w:rsid w:val="00030EE0"/>
    <w:rsid w:val="00032CB8"/>
    <w:rsid w:val="0003352B"/>
    <w:rsid w:val="00035B99"/>
    <w:rsid w:val="00036047"/>
    <w:rsid w:val="0003695F"/>
    <w:rsid w:val="00036BD5"/>
    <w:rsid w:val="000370D0"/>
    <w:rsid w:val="00037EC8"/>
    <w:rsid w:val="00040514"/>
    <w:rsid w:val="00041295"/>
    <w:rsid w:val="00041A77"/>
    <w:rsid w:val="000420A2"/>
    <w:rsid w:val="000420BB"/>
    <w:rsid w:val="000426F4"/>
    <w:rsid w:val="00044BBA"/>
    <w:rsid w:val="000459C7"/>
    <w:rsid w:val="00051650"/>
    <w:rsid w:val="00052F74"/>
    <w:rsid w:val="00053511"/>
    <w:rsid w:val="00053D1E"/>
    <w:rsid w:val="00055F9D"/>
    <w:rsid w:val="0005673C"/>
    <w:rsid w:val="000576E1"/>
    <w:rsid w:val="00062789"/>
    <w:rsid w:val="00063121"/>
    <w:rsid w:val="00063E3C"/>
    <w:rsid w:val="00066C9E"/>
    <w:rsid w:val="00067230"/>
    <w:rsid w:val="0006728D"/>
    <w:rsid w:val="00070A0C"/>
    <w:rsid w:val="00071391"/>
    <w:rsid w:val="00072258"/>
    <w:rsid w:val="000763C8"/>
    <w:rsid w:val="00076CD1"/>
    <w:rsid w:val="00080C95"/>
    <w:rsid w:val="00082482"/>
    <w:rsid w:val="00084578"/>
    <w:rsid w:val="00084D9D"/>
    <w:rsid w:val="000855F3"/>
    <w:rsid w:val="00086CAF"/>
    <w:rsid w:val="000871EA"/>
    <w:rsid w:val="00087D47"/>
    <w:rsid w:val="000905D4"/>
    <w:rsid w:val="000917AA"/>
    <w:rsid w:val="000917FF"/>
    <w:rsid w:val="00092CE8"/>
    <w:rsid w:val="00093E98"/>
    <w:rsid w:val="00094614"/>
    <w:rsid w:val="00094B07"/>
    <w:rsid w:val="0009536B"/>
    <w:rsid w:val="000A0536"/>
    <w:rsid w:val="000A0A79"/>
    <w:rsid w:val="000A6CFA"/>
    <w:rsid w:val="000A73BC"/>
    <w:rsid w:val="000A7F46"/>
    <w:rsid w:val="000B0668"/>
    <w:rsid w:val="000B37B5"/>
    <w:rsid w:val="000B43A2"/>
    <w:rsid w:val="000B4874"/>
    <w:rsid w:val="000B6E25"/>
    <w:rsid w:val="000B78BE"/>
    <w:rsid w:val="000C1525"/>
    <w:rsid w:val="000C1A35"/>
    <w:rsid w:val="000C24B0"/>
    <w:rsid w:val="000C26C9"/>
    <w:rsid w:val="000C2E8B"/>
    <w:rsid w:val="000C4F03"/>
    <w:rsid w:val="000C4F14"/>
    <w:rsid w:val="000C4F57"/>
    <w:rsid w:val="000C54AF"/>
    <w:rsid w:val="000C5F8F"/>
    <w:rsid w:val="000C6BB7"/>
    <w:rsid w:val="000C727D"/>
    <w:rsid w:val="000C73D4"/>
    <w:rsid w:val="000D0693"/>
    <w:rsid w:val="000D0970"/>
    <w:rsid w:val="000D1596"/>
    <w:rsid w:val="000D26F4"/>
    <w:rsid w:val="000D4967"/>
    <w:rsid w:val="000D4CBC"/>
    <w:rsid w:val="000D7F7C"/>
    <w:rsid w:val="000E0266"/>
    <w:rsid w:val="000E1007"/>
    <w:rsid w:val="000E1300"/>
    <w:rsid w:val="000E36A5"/>
    <w:rsid w:val="000E3A00"/>
    <w:rsid w:val="000E4090"/>
    <w:rsid w:val="000E483A"/>
    <w:rsid w:val="000E760C"/>
    <w:rsid w:val="000E778D"/>
    <w:rsid w:val="000F28F1"/>
    <w:rsid w:val="000F2F7F"/>
    <w:rsid w:val="000F406C"/>
    <w:rsid w:val="000F50CE"/>
    <w:rsid w:val="000F7092"/>
    <w:rsid w:val="000F7E01"/>
    <w:rsid w:val="00102AA1"/>
    <w:rsid w:val="001033F4"/>
    <w:rsid w:val="001058E1"/>
    <w:rsid w:val="00110DBA"/>
    <w:rsid w:val="001119BD"/>
    <w:rsid w:val="001139A7"/>
    <w:rsid w:val="00115B86"/>
    <w:rsid w:val="00117E13"/>
    <w:rsid w:val="00121824"/>
    <w:rsid w:val="0012764B"/>
    <w:rsid w:val="001278A5"/>
    <w:rsid w:val="00130C0E"/>
    <w:rsid w:val="00131DB8"/>
    <w:rsid w:val="00132721"/>
    <w:rsid w:val="00132B4C"/>
    <w:rsid w:val="00133200"/>
    <w:rsid w:val="00133575"/>
    <w:rsid w:val="00134DDF"/>
    <w:rsid w:val="001403BA"/>
    <w:rsid w:val="00141063"/>
    <w:rsid w:val="00141D56"/>
    <w:rsid w:val="00143991"/>
    <w:rsid w:val="0014512D"/>
    <w:rsid w:val="00145315"/>
    <w:rsid w:val="0014760F"/>
    <w:rsid w:val="00151CAE"/>
    <w:rsid w:val="0015367B"/>
    <w:rsid w:val="00153EAE"/>
    <w:rsid w:val="00154032"/>
    <w:rsid w:val="00157CB5"/>
    <w:rsid w:val="001623F0"/>
    <w:rsid w:val="00163AA9"/>
    <w:rsid w:val="00165A06"/>
    <w:rsid w:val="00166CEC"/>
    <w:rsid w:val="00173250"/>
    <w:rsid w:val="00173640"/>
    <w:rsid w:val="00174FE6"/>
    <w:rsid w:val="001754FC"/>
    <w:rsid w:val="00175757"/>
    <w:rsid w:val="00176B14"/>
    <w:rsid w:val="00177258"/>
    <w:rsid w:val="00183036"/>
    <w:rsid w:val="0018364F"/>
    <w:rsid w:val="001842BE"/>
    <w:rsid w:val="00184396"/>
    <w:rsid w:val="00184A88"/>
    <w:rsid w:val="0018533A"/>
    <w:rsid w:val="00185D50"/>
    <w:rsid w:val="00187BC3"/>
    <w:rsid w:val="00187C7F"/>
    <w:rsid w:val="001909CC"/>
    <w:rsid w:val="0019128F"/>
    <w:rsid w:val="00195D7A"/>
    <w:rsid w:val="0019729C"/>
    <w:rsid w:val="001A0290"/>
    <w:rsid w:val="001A17F5"/>
    <w:rsid w:val="001A226A"/>
    <w:rsid w:val="001A26ED"/>
    <w:rsid w:val="001A2B4D"/>
    <w:rsid w:val="001A2C44"/>
    <w:rsid w:val="001A31EC"/>
    <w:rsid w:val="001A4EA4"/>
    <w:rsid w:val="001A594A"/>
    <w:rsid w:val="001A7AC4"/>
    <w:rsid w:val="001B03A1"/>
    <w:rsid w:val="001B2542"/>
    <w:rsid w:val="001B30E7"/>
    <w:rsid w:val="001B33E1"/>
    <w:rsid w:val="001B33F8"/>
    <w:rsid w:val="001B35C7"/>
    <w:rsid w:val="001B3A49"/>
    <w:rsid w:val="001B3C1C"/>
    <w:rsid w:val="001B4D38"/>
    <w:rsid w:val="001B58EE"/>
    <w:rsid w:val="001B64B4"/>
    <w:rsid w:val="001B6D2B"/>
    <w:rsid w:val="001B6E79"/>
    <w:rsid w:val="001B6EC6"/>
    <w:rsid w:val="001C1981"/>
    <w:rsid w:val="001C1B2C"/>
    <w:rsid w:val="001C42E6"/>
    <w:rsid w:val="001C5D24"/>
    <w:rsid w:val="001C6F4D"/>
    <w:rsid w:val="001D24EA"/>
    <w:rsid w:val="001D426E"/>
    <w:rsid w:val="001D42A0"/>
    <w:rsid w:val="001D43A9"/>
    <w:rsid w:val="001D6781"/>
    <w:rsid w:val="001D7197"/>
    <w:rsid w:val="001D7FC7"/>
    <w:rsid w:val="001E106E"/>
    <w:rsid w:val="001E3A2A"/>
    <w:rsid w:val="001E4C92"/>
    <w:rsid w:val="001E594E"/>
    <w:rsid w:val="001E6AB6"/>
    <w:rsid w:val="001E6C42"/>
    <w:rsid w:val="001E7893"/>
    <w:rsid w:val="001E7AAF"/>
    <w:rsid w:val="001F05AD"/>
    <w:rsid w:val="001F0C92"/>
    <w:rsid w:val="001F1960"/>
    <w:rsid w:val="001F1E58"/>
    <w:rsid w:val="001F2CCB"/>
    <w:rsid w:val="001F2DAB"/>
    <w:rsid w:val="001F307E"/>
    <w:rsid w:val="001F3CAA"/>
    <w:rsid w:val="001F5A19"/>
    <w:rsid w:val="00201AD5"/>
    <w:rsid w:val="00201BB3"/>
    <w:rsid w:val="00202E5A"/>
    <w:rsid w:val="00203A51"/>
    <w:rsid w:val="00203EC8"/>
    <w:rsid w:val="00206CAC"/>
    <w:rsid w:val="00206DE9"/>
    <w:rsid w:val="002077B3"/>
    <w:rsid w:val="00210344"/>
    <w:rsid w:val="00213595"/>
    <w:rsid w:val="00213BF3"/>
    <w:rsid w:val="00216F62"/>
    <w:rsid w:val="00217610"/>
    <w:rsid w:val="00217F3C"/>
    <w:rsid w:val="00223AA7"/>
    <w:rsid w:val="00223F34"/>
    <w:rsid w:val="002242F8"/>
    <w:rsid w:val="0022443C"/>
    <w:rsid w:val="00224F54"/>
    <w:rsid w:val="00225070"/>
    <w:rsid w:val="002261A5"/>
    <w:rsid w:val="00226455"/>
    <w:rsid w:val="002266AC"/>
    <w:rsid w:val="002302C5"/>
    <w:rsid w:val="00231736"/>
    <w:rsid w:val="00233877"/>
    <w:rsid w:val="00234B7E"/>
    <w:rsid w:val="00234DEF"/>
    <w:rsid w:val="002358C2"/>
    <w:rsid w:val="00236C43"/>
    <w:rsid w:val="00237171"/>
    <w:rsid w:val="0023736E"/>
    <w:rsid w:val="002378C8"/>
    <w:rsid w:val="002378E2"/>
    <w:rsid w:val="00237E0E"/>
    <w:rsid w:val="0024043F"/>
    <w:rsid w:val="0024371E"/>
    <w:rsid w:val="002460E4"/>
    <w:rsid w:val="0024756C"/>
    <w:rsid w:val="00247A21"/>
    <w:rsid w:val="00247BBC"/>
    <w:rsid w:val="00251A02"/>
    <w:rsid w:val="00253196"/>
    <w:rsid w:val="002539D0"/>
    <w:rsid w:val="00254417"/>
    <w:rsid w:val="00257A78"/>
    <w:rsid w:val="002602AE"/>
    <w:rsid w:val="0026051C"/>
    <w:rsid w:val="00262A7B"/>
    <w:rsid w:val="00263E12"/>
    <w:rsid w:val="0026568E"/>
    <w:rsid w:val="00266075"/>
    <w:rsid w:val="002674D3"/>
    <w:rsid w:val="00273E06"/>
    <w:rsid w:val="00274222"/>
    <w:rsid w:val="002755DA"/>
    <w:rsid w:val="0027639F"/>
    <w:rsid w:val="002763F0"/>
    <w:rsid w:val="002765D1"/>
    <w:rsid w:val="00276941"/>
    <w:rsid w:val="00277111"/>
    <w:rsid w:val="00280E41"/>
    <w:rsid w:val="0028288E"/>
    <w:rsid w:val="00283179"/>
    <w:rsid w:val="00284954"/>
    <w:rsid w:val="00286ECD"/>
    <w:rsid w:val="00287CB3"/>
    <w:rsid w:val="00287FE6"/>
    <w:rsid w:val="00290B24"/>
    <w:rsid w:val="0029131B"/>
    <w:rsid w:val="00291A24"/>
    <w:rsid w:val="00291C2F"/>
    <w:rsid w:val="002921E6"/>
    <w:rsid w:val="00292FD2"/>
    <w:rsid w:val="00293103"/>
    <w:rsid w:val="00295617"/>
    <w:rsid w:val="002A0D36"/>
    <w:rsid w:val="002A2AC9"/>
    <w:rsid w:val="002A436A"/>
    <w:rsid w:val="002A4407"/>
    <w:rsid w:val="002A5B38"/>
    <w:rsid w:val="002A5B54"/>
    <w:rsid w:val="002A76E5"/>
    <w:rsid w:val="002A7E4E"/>
    <w:rsid w:val="002B12B9"/>
    <w:rsid w:val="002B319B"/>
    <w:rsid w:val="002B3784"/>
    <w:rsid w:val="002B5D09"/>
    <w:rsid w:val="002B7E2F"/>
    <w:rsid w:val="002C271A"/>
    <w:rsid w:val="002C2A13"/>
    <w:rsid w:val="002C30DE"/>
    <w:rsid w:val="002C4A1D"/>
    <w:rsid w:val="002C5498"/>
    <w:rsid w:val="002C5A6B"/>
    <w:rsid w:val="002C649B"/>
    <w:rsid w:val="002C661D"/>
    <w:rsid w:val="002C67EB"/>
    <w:rsid w:val="002D0B5B"/>
    <w:rsid w:val="002D0E10"/>
    <w:rsid w:val="002D360B"/>
    <w:rsid w:val="002D39E0"/>
    <w:rsid w:val="002D5AAC"/>
    <w:rsid w:val="002E0974"/>
    <w:rsid w:val="002E0A26"/>
    <w:rsid w:val="002E7546"/>
    <w:rsid w:val="002E7F23"/>
    <w:rsid w:val="002F1F03"/>
    <w:rsid w:val="002F2091"/>
    <w:rsid w:val="002F4573"/>
    <w:rsid w:val="002F501B"/>
    <w:rsid w:val="002F5B93"/>
    <w:rsid w:val="002F5C6F"/>
    <w:rsid w:val="002F615A"/>
    <w:rsid w:val="002F6421"/>
    <w:rsid w:val="002F65ED"/>
    <w:rsid w:val="002F791B"/>
    <w:rsid w:val="002F7BB8"/>
    <w:rsid w:val="002F7F81"/>
    <w:rsid w:val="003021C8"/>
    <w:rsid w:val="00304F3F"/>
    <w:rsid w:val="00306413"/>
    <w:rsid w:val="0030767B"/>
    <w:rsid w:val="00312845"/>
    <w:rsid w:val="003129BA"/>
    <w:rsid w:val="00313D6A"/>
    <w:rsid w:val="003143E5"/>
    <w:rsid w:val="0031452B"/>
    <w:rsid w:val="00314D98"/>
    <w:rsid w:val="003165FE"/>
    <w:rsid w:val="00316D73"/>
    <w:rsid w:val="00317164"/>
    <w:rsid w:val="00320857"/>
    <w:rsid w:val="00320F89"/>
    <w:rsid w:val="00324B93"/>
    <w:rsid w:val="00326425"/>
    <w:rsid w:val="00327E80"/>
    <w:rsid w:val="003310B2"/>
    <w:rsid w:val="00331BC5"/>
    <w:rsid w:val="00331D69"/>
    <w:rsid w:val="00334DD5"/>
    <w:rsid w:val="00336494"/>
    <w:rsid w:val="003365A7"/>
    <w:rsid w:val="0034062C"/>
    <w:rsid w:val="003409BE"/>
    <w:rsid w:val="00340D79"/>
    <w:rsid w:val="00340FAF"/>
    <w:rsid w:val="00341036"/>
    <w:rsid w:val="003411B3"/>
    <w:rsid w:val="003411DF"/>
    <w:rsid w:val="0034359C"/>
    <w:rsid w:val="00344483"/>
    <w:rsid w:val="00344B47"/>
    <w:rsid w:val="00345449"/>
    <w:rsid w:val="00345C78"/>
    <w:rsid w:val="003469D1"/>
    <w:rsid w:val="00347C26"/>
    <w:rsid w:val="00347F45"/>
    <w:rsid w:val="003510B3"/>
    <w:rsid w:val="003516FF"/>
    <w:rsid w:val="00352DEC"/>
    <w:rsid w:val="00356D60"/>
    <w:rsid w:val="003571D6"/>
    <w:rsid w:val="00360613"/>
    <w:rsid w:val="00361108"/>
    <w:rsid w:val="00361EE4"/>
    <w:rsid w:val="00362977"/>
    <w:rsid w:val="00362CA2"/>
    <w:rsid w:val="0036336A"/>
    <w:rsid w:val="0036508D"/>
    <w:rsid w:val="00370AC6"/>
    <w:rsid w:val="003720BF"/>
    <w:rsid w:val="00372181"/>
    <w:rsid w:val="00373A24"/>
    <w:rsid w:val="00373FFC"/>
    <w:rsid w:val="0037411F"/>
    <w:rsid w:val="0037529B"/>
    <w:rsid w:val="0037538C"/>
    <w:rsid w:val="00376515"/>
    <w:rsid w:val="00376771"/>
    <w:rsid w:val="00381829"/>
    <w:rsid w:val="00382528"/>
    <w:rsid w:val="00382F06"/>
    <w:rsid w:val="003834DF"/>
    <w:rsid w:val="003842E1"/>
    <w:rsid w:val="003860C0"/>
    <w:rsid w:val="0039045D"/>
    <w:rsid w:val="00391FA0"/>
    <w:rsid w:val="00392F29"/>
    <w:rsid w:val="00393DF7"/>
    <w:rsid w:val="00397F95"/>
    <w:rsid w:val="003A0B50"/>
    <w:rsid w:val="003A18EE"/>
    <w:rsid w:val="003A1A15"/>
    <w:rsid w:val="003A2A77"/>
    <w:rsid w:val="003A3208"/>
    <w:rsid w:val="003A461C"/>
    <w:rsid w:val="003A76E0"/>
    <w:rsid w:val="003A7C9A"/>
    <w:rsid w:val="003B098F"/>
    <w:rsid w:val="003B16B3"/>
    <w:rsid w:val="003B1A86"/>
    <w:rsid w:val="003B25CE"/>
    <w:rsid w:val="003B4CCF"/>
    <w:rsid w:val="003B4E6A"/>
    <w:rsid w:val="003B6E34"/>
    <w:rsid w:val="003B7017"/>
    <w:rsid w:val="003B7B4B"/>
    <w:rsid w:val="003C056C"/>
    <w:rsid w:val="003C1005"/>
    <w:rsid w:val="003C1E23"/>
    <w:rsid w:val="003C3669"/>
    <w:rsid w:val="003C46C9"/>
    <w:rsid w:val="003C4F3E"/>
    <w:rsid w:val="003C7C05"/>
    <w:rsid w:val="003D1A8D"/>
    <w:rsid w:val="003D2C45"/>
    <w:rsid w:val="003D336E"/>
    <w:rsid w:val="003D4D11"/>
    <w:rsid w:val="003D5CC7"/>
    <w:rsid w:val="003E21BA"/>
    <w:rsid w:val="003E381D"/>
    <w:rsid w:val="003E393C"/>
    <w:rsid w:val="003E48E3"/>
    <w:rsid w:val="003E63BC"/>
    <w:rsid w:val="003F0D97"/>
    <w:rsid w:val="003F12AD"/>
    <w:rsid w:val="003F242F"/>
    <w:rsid w:val="003F2747"/>
    <w:rsid w:val="003F2769"/>
    <w:rsid w:val="003F480E"/>
    <w:rsid w:val="003F61CB"/>
    <w:rsid w:val="003F751E"/>
    <w:rsid w:val="004009EF"/>
    <w:rsid w:val="004013C5"/>
    <w:rsid w:val="00402B07"/>
    <w:rsid w:val="00402ECC"/>
    <w:rsid w:val="00402F61"/>
    <w:rsid w:val="004041BD"/>
    <w:rsid w:val="0040515A"/>
    <w:rsid w:val="00407AEB"/>
    <w:rsid w:val="00410FEE"/>
    <w:rsid w:val="00411E21"/>
    <w:rsid w:val="00412876"/>
    <w:rsid w:val="00412F42"/>
    <w:rsid w:val="0041361B"/>
    <w:rsid w:val="004139A3"/>
    <w:rsid w:val="00414599"/>
    <w:rsid w:val="00414C3D"/>
    <w:rsid w:val="00414D90"/>
    <w:rsid w:val="004155A8"/>
    <w:rsid w:val="00415A1D"/>
    <w:rsid w:val="00420B61"/>
    <w:rsid w:val="0042440F"/>
    <w:rsid w:val="00424B18"/>
    <w:rsid w:val="004255BB"/>
    <w:rsid w:val="00427A66"/>
    <w:rsid w:val="00430083"/>
    <w:rsid w:val="00430B9E"/>
    <w:rsid w:val="0043147A"/>
    <w:rsid w:val="004332DD"/>
    <w:rsid w:val="00433D72"/>
    <w:rsid w:val="004369D3"/>
    <w:rsid w:val="0044022A"/>
    <w:rsid w:val="004403D3"/>
    <w:rsid w:val="00440BB8"/>
    <w:rsid w:val="00440D20"/>
    <w:rsid w:val="0044191B"/>
    <w:rsid w:val="00442056"/>
    <w:rsid w:val="004426F4"/>
    <w:rsid w:val="004428FC"/>
    <w:rsid w:val="00443A69"/>
    <w:rsid w:val="004463FE"/>
    <w:rsid w:val="00446869"/>
    <w:rsid w:val="00450B57"/>
    <w:rsid w:val="00450B7F"/>
    <w:rsid w:val="00452C11"/>
    <w:rsid w:val="00454C00"/>
    <w:rsid w:val="004552F9"/>
    <w:rsid w:val="00460F5B"/>
    <w:rsid w:val="00461A23"/>
    <w:rsid w:val="00462788"/>
    <w:rsid w:val="0046329B"/>
    <w:rsid w:val="004639A5"/>
    <w:rsid w:val="00463D73"/>
    <w:rsid w:val="00464420"/>
    <w:rsid w:val="00464E8E"/>
    <w:rsid w:val="00464EED"/>
    <w:rsid w:val="004650BC"/>
    <w:rsid w:val="004660B1"/>
    <w:rsid w:val="004700EC"/>
    <w:rsid w:val="004713AA"/>
    <w:rsid w:val="00475D39"/>
    <w:rsid w:val="004760EE"/>
    <w:rsid w:val="00476AD4"/>
    <w:rsid w:val="00476B59"/>
    <w:rsid w:val="004801C6"/>
    <w:rsid w:val="00480234"/>
    <w:rsid w:val="00480759"/>
    <w:rsid w:val="0048202E"/>
    <w:rsid w:val="0048232C"/>
    <w:rsid w:val="0048317C"/>
    <w:rsid w:val="00483FF1"/>
    <w:rsid w:val="00484037"/>
    <w:rsid w:val="004860B4"/>
    <w:rsid w:val="004904A7"/>
    <w:rsid w:val="00490AB8"/>
    <w:rsid w:val="00492490"/>
    <w:rsid w:val="00493565"/>
    <w:rsid w:val="00494F53"/>
    <w:rsid w:val="004A1CA8"/>
    <w:rsid w:val="004A1E16"/>
    <w:rsid w:val="004A294F"/>
    <w:rsid w:val="004A2C5A"/>
    <w:rsid w:val="004A3F71"/>
    <w:rsid w:val="004A51ED"/>
    <w:rsid w:val="004A5973"/>
    <w:rsid w:val="004A6154"/>
    <w:rsid w:val="004A679C"/>
    <w:rsid w:val="004A7AD6"/>
    <w:rsid w:val="004B0870"/>
    <w:rsid w:val="004B11E1"/>
    <w:rsid w:val="004B1F8E"/>
    <w:rsid w:val="004B24B8"/>
    <w:rsid w:val="004B25FC"/>
    <w:rsid w:val="004B29EF"/>
    <w:rsid w:val="004B2EEF"/>
    <w:rsid w:val="004B5F47"/>
    <w:rsid w:val="004B60D7"/>
    <w:rsid w:val="004B6B91"/>
    <w:rsid w:val="004C4FA9"/>
    <w:rsid w:val="004C6373"/>
    <w:rsid w:val="004C7907"/>
    <w:rsid w:val="004D04A2"/>
    <w:rsid w:val="004D1B47"/>
    <w:rsid w:val="004D1DBF"/>
    <w:rsid w:val="004D3DD5"/>
    <w:rsid w:val="004D4344"/>
    <w:rsid w:val="004D45E7"/>
    <w:rsid w:val="004D55B8"/>
    <w:rsid w:val="004D6127"/>
    <w:rsid w:val="004E005B"/>
    <w:rsid w:val="004E0135"/>
    <w:rsid w:val="004E3446"/>
    <w:rsid w:val="004E56B9"/>
    <w:rsid w:val="004E6FB2"/>
    <w:rsid w:val="004E7C6A"/>
    <w:rsid w:val="004F0923"/>
    <w:rsid w:val="004F0A9F"/>
    <w:rsid w:val="004F1816"/>
    <w:rsid w:val="004F2302"/>
    <w:rsid w:val="004F2565"/>
    <w:rsid w:val="004F2D79"/>
    <w:rsid w:val="004F32CD"/>
    <w:rsid w:val="004F46A8"/>
    <w:rsid w:val="004F6334"/>
    <w:rsid w:val="004F7DFF"/>
    <w:rsid w:val="005058FF"/>
    <w:rsid w:val="005060E5"/>
    <w:rsid w:val="00506E4E"/>
    <w:rsid w:val="00511527"/>
    <w:rsid w:val="00513ADC"/>
    <w:rsid w:val="0051490C"/>
    <w:rsid w:val="00514C00"/>
    <w:rsid w:val="00515248"/>
    <w:rsid w:val="00516D93"/>
    <w:rsid w:val="00517568"/>
    <w:rsid w:val="00521CB1"/>
    <w:rsid w:val="00522AAF"/>
    <w:rsid w:val="00523AD9"/>
    <w:rsid w:val="00523FF1"/>
    <w:rsid w:val="005310B7"/>
    <w:rsid w:val="00531808"/>
    <w:rsid w:val="00535BAD"/>
    <w:rsid w:val="0053635C"/>
    <w:rsid w:val="005369D2"/>
    <w:rsid w:val="00536CD5"/>
    <w:rsid w:val="00540D01"/>
    <w:rsid w:val="00542777"/>
    <w:rsid w:val="00542F80"/>
    <w:rsid w:val="0054341F"/>
    <w:rsid w:val="00543E03"/>
    <w:rsid w:val="00545818"/>
    <w:rsid w:val="00545E1F"/>
    <w:rsid w:val="00550E23"/>
    <w:rsid w:val="00551104"/>
    <w:rsid w:val="00552934"/>
    <w:rsid w:val="00552F41"/>
    <w:rsid w:val="005539D3"/>
    <w:rsid w:val="00554732"/>
    <w:rsid w:val="00555896"/>
    <w:rsid w:val="00561309"/>
    <w:rsid w:val="00562C58"/>
    <w:rsid w:val="00566BAD"/>
    <w:rsid w:val="00567143"/>
    <w:rsid w:val="00567725"/>
    <w:rsid w:val="0057126D"/>
    <w:rsid w:val="00571773"/>
    <w:rsid w:val="0057342F"/>
    <w:rsid w:val="0057570E"/>
    <w:rsid w:val="00576298"/>
    <w:rsid w:val="0057648B"/>
    <w:rsid w:val="005765ED"/>
    <w:rsid w:val="005769B6"/>
    <w:rsid w:val="0058589F"/>
    <w:rsid w:val="00586273"/>
    <w:rsid w:val="00586A04"/>
    <w:rsid w:val="00587979"/>
    <w:rsid w:val="00590D2D"/>
    <w:rsid w:val="0059196E"/>
    <w:rsid w:val="005933FE"/>
    <w:rsid w:val="0059367A"/>
    <w:rsid w:val="00593CC9"/>
    <w:rsid w:val="00593F18"/>
    <w:rsid w:val="00595805"/>
    <w:rsid w:val="00596785"/>
    <w:rsid w:val="00597B98"/>
    <w:rsid w:val="005A095D"/>
    <w:rsid w:val="005A17CF"/>
    <w:rsid w:val="005A3AA7"/>
    <w:rsid w:val="005A3ACA"/>
    <w:rsid w:val="005A3E4A"/>
    <w:rsid w:val="005A3EE2"/>
    <w:rsid w:val="005A4CE4"/>
    <w:rsid w:val="005A6CBF"/>
    <w:rsid w:val="005A77C2"/>
    <w:rsid w:val="005B0AF8"/>
    <w:rsid w:val="005B0BC2"/>
    <w:rsid w:val="005B1A00"/>
    <w:rsid w:val="005B2EAF"/>
    <w:rsid w:val="005B37B9"/>
    <w:rsid w:val="005B46E3"/>
    <w:rsid w:val="005B5080"/>
    <w:rsid w:val="005B5172"/>
    <w:rsid w:val="005B5D31"/>
    <w:rsid w:val="005B76B5"/>
    <w:rsid w:val="005B7B7C"/>
    <w:rsid w:val="005C0648"/>
    <w:rsid w:val="005C12D7"/>
    <w:rsid w:val="005C179E"/>
    <w:rsid w:val="005C38A5"/>
    <w:rsid w:val="005C6200"/>
    <w:rsid w:val="005C6D84"/>
    <w:rsid w:val="005C6D9E"/>
    <w:rsid w:val="005D4217"/>
    <w:rsid w:val="005D42A8"/>
    <w:rsid w:val="005D5505"/>
    <w:rsid w:val="005D56ED"/>
    <w:rsid w:val="005D59E6"/>
    <w:rsid w:val="005D6852"/>
    <w:rsid w:val="005D79A1"/>
    <w:rsid w:val="005D7A73"/>
    <w:rsid w:val="005D7FFD"/>
    <w:rsid w:val="005E08C6"/>
    <w:rsid w:val="005E26E3"/>
    <w:rsid w:val="005E28DC"/>
    <w:rsid w:val="005E39D5"/>
    <w:rsid w:val="005E40B7"/>
    <w:rsid w:val="005E4C46"/>
    <w:rsid w:val="005E6FAE"/>
    <w:rsid w:val="005E7854"/>
    <w:rsid w:val="005F0C2D"/>
    <w:rsid w:val="005F37CB"/>
    <w:rsid w:val="005F6EF8"/>
    <w:rsid w:val="005F7D2A"/>
    <w:rsid w:val="00600277"/>
    <w:rsid w:val="00600957"/>
    <w:rsid w:val="00601EB0"/>
    <w:rsid w:val="00605FC9"/>
    <w:rsid w:val="00610520"/>
    <w:rsid w:val="00610B7E"/>
    <w:rsid w:val="00610C7C"/>
    <w:rsid w:val="00611881"/>
    <w:rsid w:val="0061191A"/>
    <w:rsid w:val="00611967"/>
    <w:rsid w:val="00616AC3"/>
    <w:rsid w:val="00617860"/>
    <w:rsid w:val="00617BCF"/>
    <w:rsid w:val="00620532"/>
    <w:rsid w:val="006216D5"/>
    <w:rsid w:val="0062171E"/>
    <w:rsid w:val="006217B3"/>
    <w:rsid w:val="0062268D"/>
    <w:rsid w:val="00623128"/>
    <w:rsid w:val="00623C04"/>
    <w:rsid w:val="0062771E"/>
    <w:rsid w:val="006337BC"/>
    <w:rsid w:val="006351B6"/>
    <w:rsid w:val="0063583E"/>
    <w:rsid w:val="00635AC4"/>
    <w:rsid w:val="00637065"/>
    <w:rsid w:val="00641454"/>
    <w:rsid w:val="0064190E"/>
    <w:rsid w:val="00642321"/>
    <w:rsid w:val="00643271"/>
    <w:rsid w:val="006432A2"/>
    <w:rsid w:val="00646214"/>
    <w:rsid w:val="00646DE0"/>
    <w:rsid w:val="00653BDA"/>
    <w:rsid w:val="00654C34"/>
    <w:rsid w:val="00654CEC"/>
    <w:rsid w:val="006550AE"/>
    <w:rsid w:val="006552AD"/>
    <w:rsid w:val="006554E0"/>
    <w:rsid w:val="00656686"/>
    <w:rsid w:val="00656A3B"/>
    <w:rsid w:val="00656E20"/>
    <w:rsid w:val="006570BA"/>
    <w:rsid w:val="00657645"/>
    <w:rsid w:val="00661828"/>
    <w:rsid w:val="00661BF3"/>
    <w:rsid w:val="006622CC"/>
    <w:rsid w:val="0066310A"/>
    <w:rsid w:val="00664DB9"/>
    <w:rsid w:val="00667571"/>
    <w:rsid w:val="00667F7A"/>
    <w:rsid w:val="00671CB7"/>
    <w:rsid w:val="006754A1"/>
    <w:rsid w:val="006813FF"/>
    <w:rsid w:val="00681B6E"/>
    <w:rsid w:val="00681C22"/>
    <w:rsid w:val="00682C21"/>
    <w:rsid w:val="00683683"/>
    <w:rsid w:val="006836AF"/>
    <w:rsid w:val="00684EAD"/>
    <w:rsid w:val="00685AD0"/>
    <w:rsid w:val="00691359"/>
    <w:rsid w:val="00691A2B"/>
    <w:rsid w:val="00692957"/>
    <w:rsid w:val="00692E6C"/>
    <w:rsid w:val="006930A0"/>
    <w:rsid w:val="006935D4"/>
    <w:rsid w:val="00693F0B"/>
    <w:rsid w:val="00695886"/>
    <w:rsid w:val="00696627"/>
    <w:rsid w:val="00697279"/>
    <w:rsid w:val="006A135A"/>
    <w:rsid w:val="006A17B6"/>
    <w:rsid w:val="006A1C0C"/>
    <w:rsid w:val="006A2BE7"/>
    <w:rsid w:val="006A419E"/>
    <w:rsid w:val="006A6348"/>
    <w:rsid w:val="006A675B"/>
    <w:rsid w:val="006A6AF3"/>
    <w:rsid w:val="006B1495"/>
    <w:rsid w:val="006B1BF1"/>
    <w:rsid w:val="006B1F43"/>
    <w:rsid w:val="006B470F"/>
    <w:rsid w:val="006B55B1"/>
    <w:rsid w:val="006B57A7"/>
    <w:rsid w:val="006B57C4"/>
    <w:rsid w:val="006B5841"/>
    <w:rsid w:val="006B61C3"/>
    <w:rsid w:val="006B7A78"/>
    <w:rsid w:val="006B7AC3"/>
    <w:rsid w:val="006C1F05"/>
    <w:rsid w:val="006C224E"/>
    <w:rsid w:val="006C265E"/>
    <w:rsid w:val="006C2DE2"/>
    <w:rsid w:val="006C3301"/>
    <w:rsid w:val="006C389E"/>
    <w:rsid w:val="006C3A91"/>
    <w:rsid w:val="006C3B75"/>
    <w:rsid w:val="006C4820"/>
    <w:rsid w:val="006C4A01"/>
    <w:rsid w:val="006C56C7"/>
    <w:rsid w:val="006C5771"/>
    <w:rsid w:val="006C5861"/>
    <w:rsid w:val="006C7547"/>
    <w:rsid w:val="006D08EB"/>
    <w:rsid w:val="006D0C79"/>
    <w:rsid w:val="006D200D"/>
    <w:rsid w:val="006D23B9"/>
    <w:rsid w:val="006D6B7F"/>
    <w:rsid w:val="006D6F3B"/>
    <w:rsid w:val="006D77EE"/>
    <w:rsid w:val="006E6380"/>
    <w:rsid w:val="006E72E9"/>
    <w:rsid w:val="006F3575"/>
    <w:rsid w:val="006F35CE"/>
    <w:rsid w:val="007006B0"/>
    <w:rsid w:val="00700A00"/>
    <w:rsid w:val="00702553"/>
    <w:rsid w:val="00704916"/>
    <w:rsid w:val="00705403"/>
    <w:rsid w:val="00705465"/>
    <w:rsid w:val="0070559F"/>
    <w:rsid w:val="00706519"/>
    <w:rsid w:val="00710F0A"/>
    <w:rsid w:val="00711C11"/>
    <w:rsid w:val="007123B7"/>
    <w:rsid w:val="0071242C"/>
    <w:rsid w:val="00712921"/>
    <w:rsid w:val="00716F4C"/>
    <w:rsid w:val="007172C1"/>
    <w:rsid w:val="00721916"/>
    <w:rsid w:val="00722266"/>
    <w:rsid w:val="0072245A"/>
    <w:rsid w:val="007228EF"/>
    <w:rsid w:val="00723835"/>
    <w:rsid w:val="00724A40"/>
    <w:rsid w:val="00724BA8"/>
    <w:rsid w:val="007255F8"/>
    <w:rsid w:val="00725D2B"/>
    <w:rsid w:val="00726E5D"/>
    <w:rsid w:val="00733B74"/>
    <w:rsid w:val="00734BE4"/>
    <w:rsid w:val="00735409"/>
    <w:rsid w:val="007364A0"/>
    <w:rsid w:val="00740533"/>
    <w:rsid w:val="00740E62"/>
    <w:rsid w:val="00741A92"/>
    <w:rsid w:val="007420BD"/>
    <w:rsid w:val="007433FB"/>
    <w:rsid w:val="007448B0"/>
    <w:rsid w:val="00744EEB"/>
    <w:rsid w:val="007457B7"/>
    <w:rsid w:val="00746612"/>
    <w:rsid w:val="00747BC8"/>
    <w:rsid w:val="00750388"/>
    <w:rsid w:val="007511E3"/>
    <w:rsid w:val="007513A3"/>
    <w:rsid w:val="00751832"/>
    <w:rsid w:val="00752D21"/>
    <w:rsid w:val="0075379D"/>
    <w:rsid w:val="00754319"/>
    <w:rsid w:val="00756A70"/>
    <w:rsid w:val="00760F23"/>
    <w:rsid w:val="0076113B"/>
    <w:rsid w:val="00764124"/>
    <w:rsid w:val="00765E30"/>
    <w:rsid w:val="00766BD2"/>
    <w:rsid w:val="00770860"/>
    <w:rsid w:val="00772263"/>
    <w:rsid w:val="00774000"/>
    <w:rsid w:val="0077557A"/>
    <w:rsid w:val="007761DD"/>
    <w:rsid w:val="00782A9E"/>
    <w:rsid w:val="00783356"/>
    <w:rsid w:val="007848CE"/>
    <w:rsid w:val="00785797"/>
    <w:rsid w:val="00787F73"/>
    <w:rsid w:val="00790AF0"/>
    <w:rsid w:val="00793333"/>
    <w:rsid w:val="0079371F"/>
    <w:rsid w:val="00793E7C"/>
    <w:rsid w:val="0079551C"/>
    <w:rsid w:val="00796921"/>
    <w:rsid w:val="00796A27"/>
    <w:rsid w:val="007972F7"/>
    <w:rsid w:val="007974BD"/>
    <w:rsid w:val="007A0190"/>
    <w:rsid w:val="007A078C"/>
    <w:rsid w:val="007A08F2"/>
    <w:rsid w:val="007A0BE0"/>
    <w:rsid w:val="007A21B4"/>
    <w:rsid w:val="007A26C8"/>
    <w:rsid w:val="007A3531"/>
    <w:rsid w:val="007A3A37"/>
    <w:rsid w:val="007A3F54"/>
    <w:rsid w:val="007A4E26"/>
    <w:rsid w:val="007A579E"/>
    <w:rsid w:val="007A587D"/>
    <w:rsid w:val="007A6BA2"/>
    <w:rsid w:val="007A7E36"/>
    <w:rsid w:val="007B1430"/>
    <w:rsid w:val="007B18B3"/>
    <w:rsid w:val="007B3887"/>
    <w:rsid w:val="007B54EF"/>
    <w:rsid w:val="007B61FB"/>
    <w:rsid w:val="007B772A"/>
    <w:rsid w:val="007C20E6"/>
    <w:rsid w:val="007C221C"/>
    <w:rsid w:val="007C2774"/>
    <w:rsid w:val="007C295B"/>
    <w:rsid w:val="007C2A83"/>
    <w:rsid w:val="007C2B5D"/>
    <w:rsid w:val="007C3EA8"/>
    <w:rsid w:val="007C41A6"/>
    <w:rsid w:val="007C533A"/>
    <w:rsid w:val="007C6C9B"/>
    <w:rsid w:val="007C6FB5"/>
    <w:rsid w:val="007C7554"/>
    <w:rsid w:val="007D14B8"/>
    <w:rsid w:val="007D34C9"/>
    <w:rsid w:val="007D4E45"/>
    <w:rsid w:val="007D794A"/>
    <w:rsid w:val="007E224F"/>
    <w:rsid w:val="007E2D38"/>
    <w:rsid w:val="007E2DD6"/>
    <w:rsid w:val="007E3A8F"/>
    <w:rsid w:val="007E3F30"/>
    <w:rsid w:val="007E5450"/>
    <w:rsid w:val="007E78B7"/>
    <w:rsid w:val="007F08D3"/>
    <w:rsid w:val="007F2009"/>
    <w:rsid w:val="007F393D"/>
    <w:rsid w:val="007F4688"/>
    <w:rsid w:val="007F5B4B"/>
    <w:rsid w:val="007F5EBB"/>
    <w:rsid w:val="007F6D72"/>
    <w:rsid w:val="007F6EE5"/>
    <w:rsid w:val="007F7AAF"/>
    <w:rsid w:val="007F7FE4"/>
    <w:rsid w:val="0080157A"/>
    <w:rsid w:val="008017B5"/>
    <w:rsid w:val="00802C44"/>
    <w:rsid w:val="00804734"/>
    <w:rsid w:val="0080527C"/>
    <w:rsid w:val="00805B81"/>
    <w:rsid w:val="00810BFB"/>
    <w:rsid w:val="00811317"/>
    <w:rsid w:val="00811CA5"/>
    <w:rsid w:val="00811D9C"/>
    <w:rsid w:val="008123A6"/>
    <w:rsid w:val="0081426D"/>
    <w:rsid w:val="00817B8F"/>
    <w:rsid w:val="00820074"/>
    <w:rsid w:val="00821956"/>
    <w:rsid w:val="00822A54"/>
    <w:rsid w:val="0082415C"/>
    <w:rsid w:val="008241C5"/>
    <w:rsid w:val="00826477"/>
    <w:rsid w:val="00826575"/>
    <w:rsid w:val="00826F65"/>
    <w:rsid w:val="008317FE"/>
    <w:rsid w:val="0083512E"/>
    <w:rsid w:val="00835BF2"/>
    <w:rsid w:val="00837784"/>
    <w:rsid w:val="00842C90"/>
    <w:rsid w:val="00842EE7"/>
    <w:rsid w:val="00843503"/>
    <w:rsid w:val="00843A74"/>
    <w:rsid w:val="00847332"/>
    <w:rsid w:val="00850181"/>
    <w:rsid w:val="00851301"/>
    <w:rsid w:val="00851622"/>
    <w:rsid w:val="00853264"/>
    <w:rsid w:val="0085390C"/>
    <w:rsid w:val="00853A21"/>
    <w:rsid w:val="00853FA8"/>
    <w:rsid w:val="00855FF4"/>
    <w:rsid w:val="00860140"/>
    <w:rsid w:val="0086295F"/>
    <w:rsid w:val="00863E25"/>
    <w:rsid w:val="008651ED"/>
    <w:rsid w:val="00865DBC"/>
    <w:rsid w:val="00866613"/>
    <w:rsid w:val="008701E9"/>
    <w:rsid w:val="008710C2"/>
    <w:rsid w:val="00872D2B"/>
    <w:rsid w:val="0087412F"/>
    <w:rsid w:val="008752F4"/>
    <w:rsid w:val="00876899"/>
    <w:rsid w:val="00876E64"/>
    <w:rsid w:val="00876E80"/>
    <w:rsid w:val="008823B0"/>
    <w:rsid w:val="00882949"/>
    <w:rsid w:val="00882D95"/>
    <w:rsid w:val="008841D7"/>
    <w:rsid w:val="00885CA3"/>
    <w:rsid w:val="00886DCB"/>
    <w:rsid w:val="00887E19"/>
    <w:rsid w:val="0089032A"/>
    <w:rsid w:val="00894920"/>
    <w:rsid w:val="008958B6"/>
    <w:rsid w:val="00896041"/>
    <w:rsid w:val="0089619E"/>
    <w:rsid w:val="00897720"/>
    <w:rsid w:val="00897F78"/>
    <w:rsid w:val="008A00A6"/>
    <w:rsid w:val="008A00D2"/>
    <w:rsid w:val="008A0E37"/>
    <w:rsid w:val="008A23BF"/>
    <w:rsid w:val="008A34B1"/>
    <w:rsid w:val="008A37D9"/>
    <w:rsid w:val="008A3F28"/>
    <w:rsid w:val="008A5ACA"/>
    <w:rsid w:val="008B0500"/>
    <w:rsid w:val="008B1418"/>
    <w:rsid w:val="008B157A"/>
    <w:rsid w:val="008B214A"/>
    <w:rsid w:val="008C0899"/>
    <w:rsid w:val="008C1A4C"/>
    <w:rsid w:val="008C22C1"/>
    <w:rsid w:val="008C2868"/>
    <w:rsid w:val="008C2DFD"/>
    <w:rsid w:val="008C2E49"/>
    <w:rsid w:val="008C75E3"/>
    <w:rsid w:val="008D03C0"/>
    <w:rsid w:val="008D064D"/>
    <w:rsid w:val="008D0A42"/>
    <w:rsid w:val="008D184F"/>
    <w:rsid w:val="008D3F13"/>
    <w:rsid w:val="008D45B1"/>
    <w:rsid w:val="008D476E"/>
    <w:rsid w:val="008D4D2E"/>
    <w:rsid w:val="008D50A0"/>
    <w:rsid w:val="008D65BD"/>
    <w:rsid w:val="008D65E9"/>
    <w:rsid w:val="008E1135"/>
    <w:rsid w:val="008E178C"/>
    <w:rsid w:val="008E3923"/>
    <w:rsid w:val="008E5B35"/>
    <w:rsid w:val="008E6D64"/>
    <w:rsid w:val="008F108B"/>
    <w:rsid w:val="008F1C89"/>
    <w:rsid w:val="008F325C"/>
    <w:rsid w:val="008F5CC3"/>
    <w:rsid w:val="008F6B87"/>
    <w:rsid w:val="008F7593"/>
    <w:rsid w:val="008F7675"/>
    <w:rsid w:val="008F77BE"/>
    <w:rsid w:val="009001A4"/>
    <w:rsid w:val="00901C37"/>
    <w:rsid w:val="00901EEA"/>
    <w:rsid w:val="00904CD1"/>
    <w:rsid w:val="00905374"/>
    <w:rsid w:val="00907747"/>
    <w:rsid w:val="00910020"/>
    <w:rsid w:val="009113AF"/>
    <w:rsid w:val="00913E56"/>
    <w:rsid w:val="009204CD"/>
    <w:rsid w:val="009213D5"/>
    <w:rsid w:val="00921458"/>
    <w:rsid w:val="00921870"/>
    <w:rsid w:val="0092289F"/>
    <w:rsid w:val="0092396C"/>
    <w:rsid w:val="009245E3"/>
    <w:rsid w:val="00925039"/>
    <w:rsid w:val="00925968"/>
    <w:rsid w:val="00926751"/>
    <w:rsid w:val="0092684C"/>
    <w:rsid w:val="00926D46"/>
    <w:rsid w:val="00926E65"/>
    <w:rsid w:val="009275D2"/>
    <w:rsid w:val="0093014A"/>
    <w:rsid w:val="00931D31"/>
    <w:rsid w:val="009353EC"/>
    <w:rsid w:val="00936CC7"/>
    <w:rsid w:val="00937205"/>
    <w:rsid w:val="009418D9"/>
    <w:rsid w:val="009424DB"/>
    <w:rsid w:val="009437C2"/>
    <w:rsid w:val="00943A22"/>
    <w:rsid w:val="00943FA4"/>
    <w:rsid w:val="0094446A"/>
    <w:rsid w:val="00945084"/>
    <w:rsid w:val="00946E32"/>
    <w:rsid w:val="0094757E"/>
    <w:rsid w:val="009518A0"/>
    <w:rsid w:val="00952642"/>
    <w:rsid w:val="0095412B"/>
    <w:rsid w:val="0095651D"/>
    <w:rsid w:val="0096146D"/>
    <w:rsid w:val="00962703"/>
    <w:rsid w:val="00962C1B"/>
    <w:rsid w:val="00963A99"/>
    <w:rsid w:val="00965A54"/>
    <w:rsid w:val="00966109"/>
    <w:rsid w:val="00966DEF"/>
    <w:rsid w:val="00967B96"/>
    <w:rsid w:val="00970E86"/>
    <w:rsid w:val="00972FB1"/>
    <w:rsid w:val="00973BED"/>
    <w:rsid w:val="00974D11"/>
    <w:rsid w:val="0097675C"/>
    <w:rsid w:val="0097726B"/>
    <w:rsid w:val="009811F1"/>
    <w:rsid w:val="00981778"/>
    <w:rsid w:val="00983358"/>
    <w:rsid w:val="00985611"/>
    <w:rsid w:val="00985741"/>
    <w:rsid w:val="00990EA0"/>
    <w:rsid w:val="00991D5C"/>
    <w:rsid w:val="00994003"/>
    <w:rsid w:val="0099432F"/>
    <w:rsid w:val="00994BDD"/>
    <w:rsid w:val="00994D12"/>
    <w:rsid w:val="00995CA0"/>
    <w:rsid w:val="009963D1"/>
    <w:rsid w:val="00997EAB"/>
    <w:rsid w:val="009A2D58"/>
    <w:rsid w:val="009A2EBD"/>
    <w:rsid w:val="009A3A7A"/>
    <w:rsid w:val="009A4D3E"/>
    <w:rsid w:val="009A583B"/>
    <w:rsid w:val="009A64F9"/>
    <w:rsid w:val="009A69FC"/>
    <w:rsid w:val="009A7F9C"/>
    <w:rsid w:val="009B01F8"/>
    <w:rsid w:val="009B31E8"/>
    <w:rsid w:val="009B3A88"/>
    <w:rsid w:val="009B3F38"/>
    <w:rsid w:val="009B5554"/>
    <w:rsid w:val="009B59D6"/>
    <w:rsid w:val="009B5AF4"/>
    <w:rsid w:val="009B7311"/>
    <w:rsid w:val="009C0889"/>
    <w:rsid w:val="009C1265"/>
    <w:rsid w:val="009C1438"/>
    <w:rsid w:val="009C16BA"/>
    <w:rsid w:val="009C6738"/>
    <w:rsid w:val="009C6954"/>
    <w:rsid w:val="009C6C74"/>
    <w:rsid w:val="009D053E"/>
    <w:rsid w:val="009D157E"/>
    <w:rsid w:val="009D30A4"/>
    <w:rsid w:val="009D4668"/>
    <w:rsid w:val="009D4A67"/>
    <w:rsid w:val="009E1CFC"/>
    <w:rsid w:val="009E28C9"/>
    <w:rsid w:val="009E5188"/>
    <w:rsid w:val="009E765F"/>
    <w:rsid w:val="009F2345"/>
    <w:rsid w:val="009F4728"/>
    <w:rsid w:val="009F4DDD"/>
    <w:rsid w:val="009F5E99"/>
    <w:rsid w:val="009F6B8E"/>
    <w:rsid w:val="009F7F0C"/>
    <w:rsid w:val="00A01845"/>
    <w:rsid w:val="00A02833"/>
    <w:rsid w:val="00A02FCC"/>
    <w:rsid w:val="00A05461"/>
    <w:rsid w:val="00A05913"/>
    <w:rsid w:val="00A05B5F"/>
    <w:rsid w:val="00A077CE"/>
    <w:rsid w:val="00A0797D"/>
    <w:rsid w:val="00A11268"/>
    <w:rsid w:val="00A12D5C"/>
    <w:rsid w:val="00A12DA1"/>
    <w:rsid w:val="00A13E61"/>
    <w:rsid w:val="00A15F68"/>
    <w:rsid w:val="00A2154E"/>
    <w:rsid w:val="00A21B92"/>
    <w:rsid w:val="00A23F73"/>
    <w:rsid w:val="00A26D65"/>
    <w:rsid w:val="00A27A54"/>
    <w:rsid w:val="00A32816"/>
    <w:rsid w:val="00A32B0C"/>
    <w:rsid w:val="00A32E99"/>
    <w:rsid w:val="00A33462"/>
    <w:rsid w:val="00A33E85"/>
    <w:rsid w:val="00A34AA4"/>
    <w:rsid w:val="00A3594C"/>
    <w:rsid w:val="00A3673C"/>
    <w:rsid w:val="00A36C86"/>
    <w:rsid w:val="00A370E8"/>
    <w:rsid w:val="00A3799B"/>
    <w:rsid w:val="00A37A58"/>
    <w:rsid w:val="00A40962"/>
    <w:rsid w:val="00A40BED"/>
    <w:rsid w:val="00A41442"/>
    <w:rsid w:val="00A43568"/>
    <w:rsid w:val="00A43AD2"/>
    <w:rsid w:val="00A465F7"/>
    <w:rsid w:val="00A466D6"/>
    <w:rsid w:val="00A46832"/>
    <w:rsid w:val="00A46B09"/>
    <w:rsid w:val="00A50143"/>
    <w:rsid w:val="00A54AE3"/>
    <w:rsid w:val="00A56893"/>
    <w:rsid w:val="00A56F59"/>
    <w:rsid w:val="00A5739D"/>
    <w:rsid w:val="00A57FBC"/>
    <w:rsid w:val="00A60404"/>
    <w:rsid w:val="00A616B1"/>
    <w:rsid w:val="00A6183C"/>
    <w:rsid w:val="00A62294"/>
    <w:rsid w:val="00A636AC"/>
    <w:rsid w:val="00A63CEC"/>
    <w:rsid w:val="00A6400A"/>
    <w:rsid w:val="00A664EF"/>
    <w:rsid w:val="00A66A50"/>
    <w:rsid w:val="00A66EF5"/>
    <w:rsid w:val="00A67D49"/>
    <w:rsid w:val="00A710AA"/>
    <w:rsid w:val="00A71F76"/>
    <w:rsid w:val="00A73C1C"/>
    <w:rsid w:val="00A74B67"/>
    <w:rsid w:val="00A75535"/>
    <w:rsid w:val="00A77A8C"/>
    <w:rsid w:val="00A77E27"/>
    <w:rsid w:val="00A82CAE"/>
    <w:rsid w:val="00A83191"/>
    <w:rsid w:val="00A85216"/>
    <w:rsid w:val="00A858E0"/>
    <w:rsid w:val="00A85E93"/>
    <w:rsid w:val="00A86723"/>
    <w:rsid w:val="00A874AF"/>
    <w:rsid w:val="00A87D85"/>
    <w:rsid w:val="00A87FC0"/>
    <w:rsid w:val="00A90062"/>
    <w:rsid w:val="00A90A6E"/>
    <w:rsid w:val="00A91A37"/>
    <w:rsid w:val="00A92382"/>
    <w:rsid w:val="00A925F9"/>
    <w:rsid w:val="00A92DD5"/>
    <w:rsid w:val="00A92EA4"/>
    <w:rsid w:val="00A93A0D"/>
    <w:rsid w:val="00A94306"/>
    <w:rsid w:val="00A9489E"/>
    <w:rsid w:val="00A95FF8"/>
    <w:rsid w:val="00AA0813"/>
    <w:rsid w:val="00AA1C17"/>
    <w:rsid w:val="00AA2E80"/>
    <w:rsid w:val="00AA5329"/>
    <w:rsid w:val="00AA5C01"/>
    <w:rsid w:val="00AB0648"/>
    <w:rsid w:val="00AB0C5F"/>
    <w:rsid w:val="00AB1860"/>
    <w:rsid w:val="00AB2D02"/>
    <w:rsid w:val="00AB5AEC"/>
    <w:rsid w:val="00AC1D55"/>
    <w:rsid w:val="00AC1DC5"/>
    <w:rsid w:val="00AC2A4B"/>
    <w:rsid w:val="00AC3568"/>
    <w:rsid w:val="00AC3648"/>
    <w:rsid w:val="00AC3C37"/>
    <w:rsid w:val="00AC420B"/>
    <w:rsid w:val="00AC432A"/>
    <w:rsid w:val="00AC6533"/>
    <w:rsid w:val="00AC6901"/>
    <w:rsid w:val="00AD0143"/>
    <w:rsid w:val="00AD1C42"/>
    <w:rsid w:val="00AD1CA8"/>
    <w:rsid w:val="00AD20AE"/>
    <w:rsid w:val="00AD2BF2"/>
    <w:rsid w:val="00AD4CBC"/>
    <w:rsid w:val="00AD4CD8"/>
    <w:rsid w:val="00AD5AF1"/>
    <w:rsid w:val="00AD7ED7"/>
    <w:rsid w:val="00AE4FA1"/>
    <w:rsid w:val="00AE5A74"/>
    <w:rsid w:val="00AE6052"/>
    <w:rsid w:val="00AE76A5"/>
    <w:rsid w:val="00AF0EAF"/>
    <w:rsid w:val="00AF1657"/>
    <w:rsid w:val="00AF1FBB"/>
    <w:rsid w:val="00AF3478"/>
    <w:rsid w:val="00AF4F49"/>
    <w:rsid w:val="00AF6283"/>
    <w:rsid w:val="00AF7A3D"/>
    <w:rsid w:val="00B002C3"/>
    <w:rsid w:val="00B017B8"/>
    <w:rsid w:val="00B01E99"/>
    <w:rsid w:val="00B02999"/>
    <w:rsid w:val="00B0358F"/>
    <w:rsid w:val="00B03D45"/>
    <w:rsid w:val="00B05C27"/>
    <w:rsid w:val="00B070D9"/>
    <w:rsid w:val="00B070FA"/>
    <w:rsid w:val="00B10022"/>
    <w:rsid w:val="00B1125C"/>
    <w:rsid w:val="00B1175D"/>
    <w:rsid w:val="00B12DFA"/>
    <w:rsid w:val="00B1402C"/>
    <w:rsid w:val="00B15040"/>
    <w:rsid w:val="00B151FC"/>
    <w:rsid w:val="00B15B04"/>
    <w:rsid w:val="00B165AB"/>
    <w:rsid w:val="00B16C30"/>
    <w:rsid w:val="00B17F79"/>
    <w:rsid w:val="00B2007D"/>
    <w:rsid w:val="00B22ECD"/>
    <w:rsid w:val="00B24499"/>
    <w:rsid w:val="00B2501C"/>
    <w:rsid w:val="00B25BED"/>
    <w:rsid w:val="00B25DE0"/>
    <w:rsid w:val="00B26659"/>
    <w:rsid w:val="00B2797A"/>
    <w:rsid w:val="00B27BF6"/>
    <w:rsid w:val="00B3047E"/>
    <w:rsid w:val="00B312B3"/>
    <w:rsid w:val="00B31757"/>
    <w:rsid w:val="00B31D3D"/>
    <w:rsid w:val="00B36DAB"/>
    <w:rsid w:val="00B3736B"/>
    <w:rsid w:val="00B374DA"/>
    <w:rsid w:val="00B40B1B"/>
    <w:rsid w:val="00B40C11"/>
    <w:rsid w:val="00B40D2E"/>
    <w:rsid w:val="00B41D30"/>
    <w:rsid w:val="00B428DE"/>
    <w:rsid w:val="00B439B8"/>
    <w:rsid w:val="00B4541F"/>
    <w:rsid w:val="00B4552E"/>
    <w:rsid w:val="00B471DF"/>
    <w:rsid w:val="00B5181E"/>
    <w:rsid w:val="00B51A90"/>
    <w:rsid w:val="00B55FFB"/>
    <w:rsid w:val="00B64060"/>
    <w:rsid w:val="00B6429E"/>
    <w:rsid w:val="00B648EC"/>
    <w:rsid w:val="00B65B16"/>
    <w:rsid w:val="00B65E3B"/>
    <w:rsid w:val="00B7065C"/>
    <w:rsid w:val="00B70881"/>
    <w:rsid w:val="00B71F65"/>
    <w:rsid w:val="00B72776"/>
    <w:rsid w:val="00B72834"/>
    <w:rsid w:val="00B7316D"/>
    <w:rsid w:val="00B75B29"/>
    <w:rsid w:val="00B76E0A"/>
    <w:rsid w:val="00B76FE4"/>
    <w:rsid w:val="00B812D1"/>
    <w:rsid w:val="00B823BE"/>
    <w:rsid w:val="00B83323"/>
    <w:rsid w:val="00B85DA4"/>
    <w:rsid w:val="00B8776A"/>
    <w:rsid w:val="00B91D1A"/>
    <w:rsid w:val="00B924E9"/>
    <w:rsid w:val="00B92D63"/>
    <w:rsid w:val="00B93EED"/>
    <w:rsid w:val="00B944F5"/>
    <w:rsid w:val="00B95D98"/>
    <w:rsid w:val="00B961E2"/>
    <w:rsid w:val="00BA0396"/>
    <w:rsid w:val="00BA13C6"/>
    <w:rsid w:val="00BA1F5E"/>
    <w:rsid w:val="00BA2319"/>
    <w:rsid w:val="00BA2BF1"/>
    <w:rsid w:val="00BA2E40"/>
    <w:rsid w:val="00BA3770"/>
    <w:rsid w:val="00BA3BF1"/>
    <w:rsid w:val="00BA4378"/>
    <w:rsid w:val="00BA62D6"/>
    <w:rsid w:val="00BA79A5"/>
    <w:rsid w:val="00BB105D"/>
    <w:rsid w:val="00BB1A36"/>
    <w:rsid w:val="00BB1BD6"/>
    <w:rsid w:val="00BB1BFD"/>
    <w:rsid w:val="00BB24FE"/>
    <w:rsid w:val="00BB3EA2"/>
    <w:rsid w:val="00BB416B"/>
    <w:rsid w:val="00BB5008"/>
    <w:rsid w:val="00BB53DF"/>
    <w:rsid w:val="00BC042D"/>
    <w:rsid w:val="00BC0F79"/>
    <w:rsid w:val="00BC1278"/>
    <w:rsid w:val="00BC2F93"/>
    <w:rsid w:val="00BC35B9"/>
    <w:rsid w:val="00BC46D0"/>
    <w:rsid w:val="00BC549D"/>
    <w:rsid w:val="00BC605A"/>
    <w:rsid w:val="00BC71AE"/>
    <w:rsid w:val="00BC7215"/>
    <w:rsid w:val="00BD1154"/>
    <w:rsid w:val="00BD386A"/>
    <w:rsid w:val="00BD3DDA"/>
    <w:rsid w:val="00BD5D55"/>
    <w:rsid w:val="00BD6241"/>
    <w:rsid w:val="00BD7ECA"/>
    <w:rsid w:val="00BE0706"/>
    <w:rsid w:val="00BE194E"/>
    <w:rsid w:val="00BE307A"/>
    <w:rsid w:val="00BE5CAC"/>
    <w:rsid w:val="00BE7346"/>
    <w:rsid w:val="00BF10F3"/>
    <w:rsid w:val="00BF217F"/>
    <w:rsid w:val="00BF25B5"/>
    <w:rsid w:val="00BF5330"/>
    <w:rsid w:val="00C00121"/>
    <w:rsid w:val="00C006BA"/>
    <w:rsid w:val="00C015BA"/>
    <w:rsid w:val="00C017E2"/>
    <w:rsid w:val="00C01863"/>
    <w:rsid w:val="00C01AEE"/>
    <w:rsid w:val="00C01CF6"/>
    <w:rsid w:val="00C0271A"/>
    <w:rsid w:val="00C028A7"/>
    <w:rsid w:val="00C04283"/>
    <w:rsid w:val="00C04CD4"/>
    <w:rsid w:val="00C04E74"/>
    <w:rsid w:val="00C05274"/>
    <w:rsid w:val="00C05797"/>
    <w:rsid w:val="00C075FD"/>
    <w:rsid w:val="00C07971"/>
    <w:rsid w:val="00C11FD7"/>
    <w:rsid w:val="00C126ED"/>
    <w:rsid w:val="00C129F7"/>
    <w:rsid w:val="00C16D39"/>
    <w:rsid w:val="00C21CEB"/>
    <w:rsid w:val="00C22A19"/>
    <w:rsid w:val="00C24C35"/>
    <w:rsid w:val="00C258C0"/>
    <w:rsid w:val="00C260E7"/>
    <w:rsid w:val="00C268E9"/>
    <w:rsid w:val="00C26FEB"/>
    <w:rsid w:val="00C31D76"/>
    <w:rsid w:val="00C33A34"/>
    <w:rsid w:val="00C35A7F"/>
    <w:rsid w:val="00C363D0"/>
    <w:rsid w:val="00C3672F"/>
    <w:rsid w:val="00C37836"/>
    <w:rsid w:val="00C410EF"/>
    <w:rsid w:val="00C41FFC"/>
    <w:rsid w:val="00C430DB"/>
    <w:rsid w:val="00C43EA6"/>
    <w:rsid w:val="00C44297"/>
    <w:rsid w:val="00C457F1"/>
    <w:rsid w:val="00C51493"/>
    <w:rsid w:val="00C52B73"/>
    <w:rsid w:val="00C55893"/>
    <w:rsid w:val="00C56AEA"/>
    <w:rsid w:val="00C579BC"/>
    <w:rsid w:val="00C60DAF"/>
    <w:rsid w:val="00C6195A"/>
    <w:rsid w:val="00C62793"/>
    <w:rsid w:val="00C62A71"/>
    <w:rsid w:val="00C62C88"/>
    <w:rsid w:val="00C65102"/>
    <w:rsid w:val="00C65105"/>
    <w:rsid w:val="00C65358"/>
    <w:rsid w:val="00C663ED"/>
    <w:rsid w:val="00C67424"/>
    <w:rsid w:val="00C7066E"/>
    <w:rsid w:val="00C71105"/>
    <w:rsid w:val="00C71948"/>
    <w:rsid w:val="00C7301D"/>
    <w:rsid w:val="00C74587"/>
    <w:rsid w:val="00C750F4"/>
    <w:rsid w:val="00C75C50"/>
    <w:rsid w:val="00C76F55"/>
    <w:rsid w:val="00C77114"/>
    <w:rsid w:val="00C8072D"/>
    <w:rsid w:val="00C82953"/>
    <w:rsid w:val="00C82ED5"/>
    <w:rsid w:val="00C844EF"/>
    <w:rsid w:val="00C85C3E"/>
    <w:rsid w:val="00C8602D"/>
    <w:rsid w:val="00C8616F"/>
    <w:rsid w:val="00C861D0"/>
    <w:rsid w:val="00C87688"/>
    <w:rsid w:val="00C92369"/>
    <w:rsid w:val="00C92DB5"/>
    <w:rsid w:val="00C93B35"/>
    <w:rsid w:val="00C94D10"/>
    <w:rsid w:val="00C95DA7"/>
    <w:rsid w:val="00CA1856"/>
    <w:rsid w:val="00CA1AEE"/>
    <w:rsid w:val="00CA3953"/>
    <w:rsid w:val="00CA612A"/>
    <w:rsid w:val="00CB0F3C"/>
    <w:rsid w:val="00CB2479"/>
    <w:rsid w:val="00CB295D"/>
    <w:rsid w:val="00CB2C31"/>
    <w:rsid w:val="00CB325C"/>
    <w:rsid w:val="00CB371E"/>
    <w:rsid w:val="00CB40F4"/>
    <w:rsid w:val="00CB59BC"/>
    <w:rsid w:val="00CB6B33"/>
    <w:rsid w:val="00CC2B5D"/>
    <w:rsid w:val="00CC2DC1"/>
    <w:rsid w:val="00CC38A4"/>
    <w:rsid w:val="00CC6E34"/>
    <w:rsid w:val="00CC70BE"/>
    <w:rsid w:val="00CD2789"/>
    <w:rsid w:val="00CD2815"/>
    <w:rsid w:val="00CD3CB8"/>
    <w:rsid w:val="00CD460C"/>
    <w:rsid w:val="00CE1B47"/>
    <w:rsid w:val="00CE2414"/>
    <w:rsid w:val="00CE3440"/>
    <w:rsid w:val="00CE3F21"/>
    <w:rsid w:val="00CE4350"/>
    <w:rsid w:val="00CE4858"/>
    <w:rsid w:val="00CE48A4"/>
    <w:rsid w:val="00CE5278"/>
    <w:rsid w:val="00CE5865"/>
    <w:rsid w:val="00CE5A95"/>
    <w:rsid w:val="00CE647A"/>
    <w:rsid w:val="00CE69C6"/>
    <w:rsid w:val="00CF0F5D"/>
    <w:rsid w:val="00CF1903"/>
    <w:rsid w:val="00CF24D1"/>
    <w:rsid w:val="00CF3424"/>
    <w:rsid w:val="00CF376C"/>
    <w:rsid w:val="00CF4A7B"/>
    <w:rsid w:val="00CF5213"/>
    <w:rsid w:val="00CF591A"/>
    <w:rsid w:val="00CF5EE9"/>
    <w:rsid w:val="00CF7CCA"/>
    <w:rsid w:val="00D004B7"/>
    <w:rsid w:val="00D03704"/>
    <w:rsid w:val="00D04C0E"/>
    <w:rsid w:val="00D05E3F"/>
    <w:rsid w:val="00D07725"/>
    <w:rsid w:val="00D07C01"/>
    <w:rsid w:val="00D1077B"/>
    <w:rsid w:val="00D12F42"/>
    <w:rsid w:val="00D12FD3"/>
    <w:rsid w:val="00D14E96"/>
    <w:rsid w:val="00D15A6B"/>
    <w:rsid w:val="00D16CB6"/>
    <w:rsid w:val="00D173A4"/>
    <w:rsid w:val="00D2183D"/>
    <w:rsid w:val="00D22638"/>
    <w:rsid w:val="00D22B4A"/>
    <w:rsid w:val="00D22C48"/>
    <w:rsid w:val="00D23F44"/>
    <w:rsid w:val="00D24C33"/>
    <w:rsid w:val="00D26184"/>
    <w:rsid w:val="00D30079"/>
    <w:rsid w:val="00D37818"/>
    <w:rsid w:val="00D40859"/>
    <w:rsid w:val="00D413B6"/>
    <w:rsid w:val="00D41EF6"/>
    <w:rsid w:val="00D4255C"/>
    <w:rsid w:val="00D428E6"/>
    <w:rsid w:val="00D45B06"/>
    <w:rsid w:val="00D46BFF"/>
    <w:rsid w:val="00D47F61"/>
    <w:rsid w:val="00D51314"/>
    <w:rsid w:val="00D5270F"/>
    <w:rsid w:val="00D5394B"/>
    <w:rsid w:val="00D551D0"/>
    <w:rsid w:val="00D57E80"/>
    <w:rsid w:val="00D57F4F"/>
    <w:rsid w:val="00D60FF7"/>
    <w:rsid w:val="00D610D6"/>
    <w:rsid w:val="00D61B40"/>
    <w:rsid w:val="00D61D92"/>
    <w:rsid w:val="00D65361"/>
    <w:rsid w:val="00D67701"/>
    <w:rsid w:val="00D67A14"/>
    <w:rsid w:val="00D7106A"/>
    <w:rsid w:val="00D7404C"/>
    <w:rsid w:val="00D75AAE"/>
    <w:rsid w:val="00D76E02"/>
    <w:rsid w:val="00D80A72"/>
    <w:rsid w:val="00D82517"/>
    <w:rsid w:val="00D82A80"/>
    <w:rsid w:val="00D83974"/>
    <w:rsid w:val="00D83B47"/>
    <w:rsid w:val="00D856BD"/>
    <w:rsid w:val="00D85A96"/>
    <w:rsid w:val="00D931A9"/>
    <w:rsid w:val="00D96121"/>
    <w:rsid w:val="00D963DD"/>
    <w:rsid w:val="00D966CF"/>
    <w:rsid w:val="00D97721"/>
    <w:rsid w:val="00DA0765"/>
    <w:rsid w:val="00DA1058"/>
    <w:rsid w:val="00DA16E5"/>
    <w:rsid w:val="00DA18D2"/>
    <w:rsid w:val="00DA1ECA"/>
    <w:rsid w:val="00DA2C8E"/>
    <w:rsid w:val="00DA2F0D"/>
    <w:rsid w:val="00DA7DE8"/>
    <w:rsid w:val="00DB16A9"/>
    <w:rsid w:val="00DB19BE"/>
    <w:rsid w:val="00DB2FAA"/>
    <w:rsid w:val="00DB3084"/>
    <w:rsid w:val="00DB3991"/>
    <w:rsid w:val="00DB4835"/>
    <w:rsid w:val="00DC0FC2"/>
    <w:rsid w:val="00DC570A"/>
    <w:rsid w:val="00DD01F5"/>
    <w:rsid w:val="00DD121A"/>
    <w:rsid w:val="00DD210F"/>
    <w:rsid w:val="00DD3358"/>
    <w:rsid w:val="00DD34D7"/>
    <w:rsid w:val="00DD5B75"/>
    <w:rsid w:val="00DD6648"/>
    <w:rsid w:val="00DD740D"/>
    <w:rsid w:val="00DE1C3F"/>
    <w:rsid w:val="00DE1F77"/>
    <w:rsid w:val="00DE32CC"/>
    <w:rsid w:val="00DE3E48"/>
    <w:rsid w:val="00DE50B2"/>
    <w:rsid w:val="00DE566A"/>
    <w:rsid w:val="00DE639C"/>
    <w:rsid w:val="00DE77B8"/>
    <w:rsid w:val="00DF053A"/>
    <w:rsid w:val="00DF3FD0"/>
    <w:rsid w:val="00DF4A4C"/>
    <w:rsid w:val="00DF4CBF"/>
    <w:rsid w:val="00DF5222"/>
    <w:rsid w:val="00DF5E82"/>
    <w:rsid w:val="00DF65E6"/>
    <w:rsid w:val="00DF69D6"/>
    <w:rsid w:val="00E00078"/>
    <w:rsid w:val="00E01B76"/>
    <w:rsid w:val="00E0293C"/>
    <w:rsid w:val="00E02A4F"/>
    <w:rsid w:val="00E036EF"/>
    <w:rsid w:val="00E041BE"/>
    <w:rsid w:val="00E05902"/>
    <w:rsid w:val="00E0678D"/>
    <w:rsid w:val="00E0738A"/>
    <w:rsid w:val="00E10011"/>
    <w:rsid w:val="00E12970"/>
    <w:rsid w:val="00E12C36"/>
    <w:rsid w:val="00E12F76"/>
    <w:rsid w:val="00E15AE5"/>
    <w:rsid w:val="00E16543"/>
    <w:rsid w:val="00E16AB6"/>
    <w:rsid w:val="00E16FA5"/>
    <w:rsid w:val="00E20440"/>
    <w:rsid w:val="00E21A45"/>
    <w:rsid w:val="00E21EF7"/>
    <w:rsid w:val="00E22249"/>
    <w:rsid w:val="00E23ED8"/>
    <w:rsid w:val="00E245CA"/>
    <w:rsid w:val="00E24DC3"/>
    <w:rsid w:val="00E24E94"/>
    <w:rsid w:val="00E315FB"/>
    <w:rsid w:val="00E335FF"/>
    <w:rsid w:val="00E339E4"/>
    <w:rsid w:val="00E33C51"/>
    <w:rsid w:val="00E344A0"/>
    <w:rsid w:val="00E34BB5"/>
    <w:rsid w:val="00E35E3F"/>
    <w:rsid w:val="00E367CA"/>
    <w:rsid w:val="00E36EE5"/>
    <w:rsid w:val="00E3789D"/>
    <w:rsid w:val="00E40786"/>
    <w:rsid w:val="00E408C0"/>
    <w:rsid w:val="00E435CC"/>
    <w:rsid w:val="00E43FA5"/>
    <w:rsid w:val="00E46F52"/>
    <w:rsid w:val="00E50ADE"/>
    <w:rsid w:val="00E51EC8"/>
    <w:rsid w:val="00E52E32"/>
    <w:rsid w:val="00E530BE"/>
    <w:rsid w:val="00E53122"/>
    <w:rsid w:val="00E5335D"/>
    <w:rsid w:val="00E53EDE"/>
    <w:rsid w:val="00E55611"/>
    <w:rsid w:val="00E558E4"/>
    <w:rsid w:val="00E56582"/>
    <w:rsid w:val="00E578F1"/>
    <w:rsid w:val="00E615CB"/>
    <w:rsid w:val="00E63158"/>
    <w:rsid w:val="00E63FE1"/>
    <w:rsid w:val="00E64CA4"/>
    <w:rsid w:val="00E65E6F"/>
    <w:rsid w:val="00E700A9"/>
    <w:rsid w:val="00E7029D"/>
    <w:rsid w:val="00E711C2"/>
    <w:rsid w:val="00E718FF"/>
    <w:rsid w:val="00E72C56"/>
    <w:rsid w:val="00E740F0"/>
    <w:rsid w:val="00E749C1"/>
    <w:rsid w:val="00E81257"/>
    <w:rsid w:val="00E8169E"/>
    <w:rsid w:val="00E82A87"/>
    <w:rsid w:val="00E8325F"/>
    <w:rsid w:val="00E84030"/>
    <w:rsid w:val="00E85117"/>
    <w:rsid w:val="00E86444"/>
    <w:rsid w:val="00E866EE"/>
    <w:rsid w:val="00E87C79"/>
    <w:rsid w:val="00E900F4"/>
    <w:rsid w:val="00E90DEB"/>
    <w:rsid w:val="00E90DEF"/>
    <w:rsid w:val="00E90E38"/>
    <w:rsid w:val="00E924EE"/>
    <w:rsid w:val="00E9334B"/>
    <w:rsid w:val="00E9365F"/>
    <w:rsid w:val="00E9505F"/>
    <w:rsid w:val="00E97B15"/>
    <w:rsid w:val="00E97D72"/>
    <w:rsid w:val="00EA2253"/>
    <w:rsid w:val="00EA2AC3"/>
    <w:rsid w:val="00EA4CA6"/>
    <w:rsid w:val="00EA4E35"/>
    <w:rsid w:val="00EA5E7D"/>
    <w:rsid w:val="00EA6B99"/>
    <w:rsid w:val="00EB0A5F"/>
    <w:rsid w:val="00EB0BC9"/>
    <w:rsid w:val="00EB19F4"/>
    <w:rsid w:val="00EB237E"/>
    <w:rsid w:val="00EB2C25"/>
    <w:rsid w:val="00EB393A"/>
    <w:rsid w:val="00EB451D"/>
    <w:rsid w:val="00EB6441"/>
    <w:rsid w:val="00EC09E1"/>
    <w:rsid w:val="00EC690B"/>
    <w:rsid w:val="00ED22F7"/>
    <w:rsid w:val="00ED39D1"/>
    <w:rsid w:val="00ED6FD3"/>
    <w:rsid w:val="00ED745C"/>
    <w:rsid w:val="00EE36D8"/>
    <w:rsid w:val="00EE4871"/>
    <w:rsid w:val="00EE5794"/>
    <w:rsid w:val="00EE57FC"/>
    <w:rsid w:val="00EE6728"/>
    <w:rsid w:val="00EE6966"/>
    <w:rsid w:val="00EE6B24"/>
    <w:rsid w:val="00EE73A3"/>
    <w:rsid w:val="00EF294A"/>
    <w:rsid w:val="00EF2C60"/>
    <w:rsid w:val="00EF2E43"/>
    <w:rsid w:val="00EF330B"/>
    <w:rsid w:val="00EF50A7"/>
    <w:rsid w:val="00EF6937"/>
    <w:rsid w:val="00EF7E72"/>
    <w:rsid w:val="00F008FB"/>
    <w:rsid w:val="00F00DA6"/>
    <w:rsid w:val="00F01914"/>
    <w:rsid w:val="00F02A7E"/>
    <w:rsid w:val="00F043C5"/>
    <w:rsid w:val="00F0621E"/>
    <w:rsid w:val="00F0728C"/>
    <w:rsid w:val="00F10FA4"/>
    <w:rsid w:val="00F15035"/>
    <w:rsid w:val="00F15450"/>
    <w:rsid w:val="00F1656E"/>
    <w:rsid w:val="00F165DC"/>
    <w:rsid w:val="00F170EC"/>
    <w:rsid w:val="00F22AFB"/>
    <w:rsid w:val="00F24711"/>
    <w:rsid w:val="00F25BBD"/>
    <w:rsid w:val="00F26CE9"/>
    <w:rsid w:val="00F271DB"/>
    <w:rsid w:val="00F27A0B"/>
    <w:rsid w:val="00F30567"/>
    <w:rsid w:val="00F33056"/>
    <w:rsid w:val="00F33562"/>
    <w:rsid w:val="00F3464F"/>
    <w:rsid w:val="00F36E97"/>
    <w:rsid w:val="00F406EE"/>
    <w:rsid w:val="00F41408"/>
    <w:rsid w:val="00F41790"/>
    <w:rsid w:val="00F41C7D"/>
    <w:rsid w:val="00F42FFE"/>
    <w:rsid w:val="00F43269"/>
    <w:rsid w:val="00F439B6"/>
    <w:rsid w:val="00F43D40"/>
    <w:rsid w:val="00F444D2"/>
    <w:rsid w:val="00F456F7"/>
    <w:rsid w:val="00F5106B"/>
    <w:rsid w:val="00F5154D"/>
    <w:rsid w:val="00F523E4"/>
    <w:rsid w:val="00F53D93"/>
    <w:rsid w:val="00F541C4"/>
    <w:rsid w:val="00F56824"/>
    <w:rsid w:val="00F57983"/>
    <w:rsid w:val="00F61165"/>
    <w:rsid w:val="00F61E00"/>
    <w:rsid w:val="00F621C4"/>
    <w:rsid w:val="00F63F91"/>
    <w:rsid w:val="00F64010"/>
    <w:rsid w:val="00F66DF9"/>
    <w:rsid w:val="00F7082F"/>
    <w:rsid w:val="00F71502"/>
    <w:rsid w:val="00F73AED"/>
    <w:rsid w:val="00F74B24"/>
    <w:rsid w:val="00F74CC9"/>
    <w:rsid w:val="00F74D3F"/>
    <w:rsid w:val="00F75A18"/>
    <w:rsid w:val="00F76979"/>
    <w:rsid w:val="00F80952"/>
    <w:rsid w:val="00F82831"/>
    <w:rsid w:val="00F833FA"/>
    <w:rsid w:val="00F83524"/>
    <w:rsid w:val="00F837F8"/>
    <w:rsid w:val="00F83841"/>
    <w:rsid w:val="00F8402E"/>
    <w:rsid w:val="00F846D0"/>
    <w:rsid w:val="00F8641F"/>
    <w:rsid w:val="00F86494"/>
    <w:rsid w:val="00F864FE"/>
    <w:rsid w:val="00F86AFB"/>
    <w:rsid w:val="00F876CF"/>
    <w:rsid w:val="00F91A69"/>
    <w:rsid w:val="00F91D40"/>
    <w:rsid w:val="00F92123"/>
    <w:rsid w:val="00F9484F"/>
    <w:rsid w:val="00F95595"/>
    <w:rsid w:val="00F96159"/>
    <w:rsid w:val="00F96C51"/>
    <w:rsid w:val="00FA052A"/>
    <w:rsid w:val="00FA160F"/>
    <w:rsid w:val="00FA1CA1"/>
    <w:rsid w:val="00FA4658"/>
    <w:rsid w:val="00FA6D82"/>
    <w:rsid w:val="00FA71CC"/>
    <w:rsid w:val="00FB05E1"/>
    <w:rsid w:val="00FB192A"/>
    <w:rsid w:val="00FB3463"/>
    <w:rsid w:val="00FB36CE"/>
    <w:rsid w:val="00FB3E2F"/>
    <w:rsid w:val="00FB5680"/>
    <w:rsid w:val="00FB5C88"/>
    <w:rsid w:val="00FB6E79"/>
    <w:rsid w:val="00FC2CB0"/>
    <w:rsid w:val="00FC4178"/>
    <w:rsid w:val="00FC5186"/>
    <w:rsid w:val="00FC58AA"/>
    <w:rsid w:val="00FC6A16"/>
    <w:rsid w:val="00FC7AE4"/>
    <w:rsid w:val="00FD07CB"/>
    <w:rsid w:val="00FD0BAB"/>
    <w:rsid w:val="00FD2315"/>
    <w:rsid w:val="00FD4CAB"/>
    <w:rsid w:val="00FD6630"/>
    <w:rsid w:val="00FD6923"/>
    <w:rsid w:val="00FD6EC1"/>
    <w:rsid w:val="00FD7D83"/>
    <w:rsid w:val="00FE0444"/>
    <w:rsid w:val="00FE1A61"/>
    <w:rsid w:val="00FE22BA"/>
    <w:rsid w:val="00FE360A"/>
    <w:rsid w:val="00FE40D4"/>
    <w:rsid w:val="00FE4683"/>
    <w:rsid w:val="00FE4B59"/>
    <w:rsid w:val="00FE68E1"/>
    <w:rsid w:val="00FE6A56"/>
    <w:rsid w:val="00FE6B6B"/>
    <w:rsid w:val="00FE6F3C"/>
    <w:rsid w:val="00FE7869"/>
    <w:rsid w:val="00FE79DD"/>
    <w:rsid w:val="00FF1107"/>
    <w:rsid w:val="00FF150A"/>
    <w:rsid w:val="00FF31CE"/>
    <w:rsid w:val="00FF374E"/>
    <w:rsid w:val="00FF42EC"/>
    <w:rsid w:val="00FF6A49"/>
    <w:rsid w:val="00FF70C5"/>
    <w:rsid w:val="01001B5E"/>
    <w:rsid w:val="010A478A"/>
    <w:rsid w:val="014E4DB1"/>
    <w:rsid w:val="01814321"/>
    <w:rsid w:val="018A5E4B"/>
    <w:rsid w:val="018D227D"/>
    <w:rsid w:val="01DC7A9D"/>
    <w:rsid w:val="01F3521E"/>
    <w:rsid w:val="01F66ABD"/>
    <w:rsid w:val="02005B8D"/>
    <w:rsid w:val="020F7B7E"/>
    <w:rsid w:val="024F0F55"/>
    <w:rsid w:val="02585E6D"/>
    <w:rsid w:val="026223A4"/>
    <w:rsid w:val="02714395"/>
    <w:rsid w:val="029C2E53"/>
    <w:rsid w:val="02A07F83"/>
    <w:rsid w:val="02A42BCC"/>
    <w:rsid w:val="02A83951"/>
    <w:rsid w:val="02AD127A"/>
    <w:rsid w:val="02C66925"/>
    <w:rsid w:val="02E10CF1"/>
    <w:rsid w:val="02F12996"/>
    <w:rsid w:val="031779FE"/>
    <w:rsid w:val="032A4C70"/>
    <w:rsid w:val="035379F2"/>
    <w:rsid w:val="036839EA"/>
    <w:rsid w:val="03942A31"/>
    <w:rsid w:val="039D6A14"/>
    <w:rsid w:val="03AA2120"/>
    <w:rsid w:val="03B33D3F"/>
    <w:rsid w:val="03B804CE"/>
    <w:rsid w:val="03D632ED"/>
    <w:rsid w:val="03E70971"/>
    <w:rsid w:val="03F4702C"/>
    <w:rsid w:val="044B1F71"/>
    <w:rsid w:val="04536448"/>
    <w:rsid w:val="0477239F"/>
    <w:rsid w:val="048605CC"/>
    <w:rsid w:val="049D3B67"/>
    <w:rsid w:val="049F62C7"/>
    <w:rsid w:val="04BF763A"/>
    <w:rsid w:val="04DC01EC"/>
    <w:rsid w:val="04ED41A7"/>
    <w:rsid w:val="053C512E"/>
    <w:rsid w:val="058567FD"/>
    <w:rsid w:val="05924D4E"/>
    <w:rsid w:val="0596469C"/>
    <w:rsid w:val="05B918A2"/>
    <w:rsid w:val="05BC0B68"/>
    <w:rsid w:val="05BD626F"/>
    <w:rsid w:val="05D565EB"/>
    <w:rsid w:val="05E0018C"/>
    <w:rsid w:val="064348E1"/>
    <w:rsid w:val="06782196"/>
    <w:rsid w:val="06DD649D"/>
    <w:rsid w:val="07071B14"/>
    <w:rsid w:val="0738443E"/>
    <w:rsid w:val="07567DEA"/>
    <w:rsid w:val="075F6EB2"/>
    <w:rsid w:val="07794B82"/>
    <w:rsid w:val="07846919"/>
    <w:rsid w:val="07894981"/>
    <w:rsid w:val="07BA233A"/>
    <w:rsid w:val="07CB58EF"/>
    <w:rsid w:val="07F910B5"/>
    <w:rsid w:val="07F97307"/>
    <w:rsid w:val="08144141"/>
    <w:rsid w:val="0822685D"/>
    <w:rsid w:val="08A27908"/>
    <w:rsid w:val="08B374B6"/>
    <w:rsid w:val="08CE42EF"/>
    <w:rsid w:val="08FD6716"/>
    <w:rsid w:val="09357999"/>
    <w:rsid w:val="09594501"/>
    <w:rsid w:val="096156E6"/>
    <w:rsid w:val="09617CAD"/>
    <w:rsid w:val="09694B88"/>
    <w:rsid w:val="09A74969"/>
    <w:rsid w:val="09AE3862"/>
    <w:rsid w:val="09CF031F"/>
    <w:rsid w:val="09ED05CF"/>
    <w:rsid w:val="09EF451D"/>
    <w:rsid w:val="0A00672A"/>
    <w:rsid w:val="0A0A1357"/>
    <w:rsid w:val="0A540824"/>
    <w:rsid w:val="0A747118"/>
    <w:rsid w:val="0AA3355A"/>
    <w:rsid w:val="0ACB4F8A"/>
    <w:rsid w:val="0AE918B4"/>
    <w:rsid w:val="0B154E5A"/>
    <w:rsid w:val="0B185859"/>
    <w:rsid w:val="0B2102B1"/>
    <w:rsid w:val="0B4F3FA9"/>
    <w:rsid w:val="0B61769D"/>
    <w:rsid w:val="0BC33EB3"/>
    <w:rsid w:val="0BC55E7E"/>
    <w:rsid w:val="0BDC6D23"/>
    <w:rsid w:val="0BEB6F66"/>
    <w:rsid w:val="0BFB441A"/>
    <w:rsid w:val="0C4B413D"/>
    <w:rsid w:val="0C776A4C"/>
    <w:rsid w:val="0CB16402"/>
    <w:rsid w:val="0D0763DE"/>
    <w:rsid w:val="0D4234FE"/>
    <w:rsid w:val="0D5B0143"/>
    <w:rsid w:val="0D5D5C42"/>
    <w:rsid w:val="0D6D0214"/>
    <w:rsid w:val="0DAD5587"/>
    <w:rsid w:val="0DC3019B"/>
    <w:rsid w:val="0DFC18FF"/>
    <w:rsid w:val="0DFE4E6C"/>
    <w:rsid w:val="0E095496"/>
    <w:rsid w:val="0E17432B"/>
    <w:rsid w:val="0E226AFF"/>
    <w:rsid w:val="0E4A1E98"/>
    <w:rsid w:val="0E6454B7"/>
    <w:rsid w:val="0E772B23"/>
    <w:rsid w:val="0EC35F79"/>
    <w:rsid w:val="0ED4462A"/>
    <w:rsid w:val="0EE02FCE"/>
    <w:rsid w:val="0EEA1757"/>
    <w:rsid w:val="0F565C24"/>
    <w:rsid w:val="0F5D017B"/>
    <w:rsid w:val="0F6D2BBC"/>
    <w:rsid w:val="0F7B3433"/>
    <w:rsid w:val="0F9E7092"/>
    <w:rsid w:val="0FCB67DE"/>
    <w:rsid w:val="0FE60171"/>
    <w:rsid w:val="100D7DF3"/>
    <w:rsid w:val="10484987"/>
    <w:rsid w:val="105F0EF9"/>
    <w:rsid w:val="10765998"/>
    <w:rsid w:val="107C2883"/>
    <w:rsid w:val="10A61FD0"/>
    <w:rsid w:val="10C50985"/>
    <w:rsid w:val="10FD7E68"/>
    <w:rsid w:val="110046FB"/>
    <w:rsid w:val="111F7DDE"/>
    <w:rsid w:val="112A523F"/>
    <w:rsid w:val="11514C6E"/>
    <w:rsid w:val="11593093"/>
    <w:rsid w:val="116031BF"/>
    <w:rsid w:val="116867C2"/>
    <w:rsid w:val="11816C36"/>
    <w:rsid w:val="119C0123"/>
    <w:rsid w:val="11BB73DB"/>
    <w:rsid w:val="11C101AE"/>
    <w:rsid w:val="11D230A2"/>
    <w:rsid w:val="12046675"/>
    <w:rsid w:val="12103BCB"/>
    <w:rsid w:val="121A5488"/>
    <w:rsid w:val="121F5BBC"/>
    <w:rsid w:val="122C54C9"/>
    <w:rsid w:val="124564B5"/>
    <w:rsid w:val="125F245C"/>
    <w:rsid w:val="12691D72"/>
    <w:rsid w:val="12812142"/>
    <w:rsid w:val="12AB2CA4"/>
    <w:rsid w:val="12E84200"/>
    <w:rsid w:val="12F63C54"/>
    <w:rsid w:val="13EA13B1"/>
    <w:rsid w:val="13FA243C"/>
    <w:rsid w:val="13FF6F15"/>
    <w:rsid w:val="14027543"/>
    <w:rsid w:val="1403780D"/>
    <w:rsid w:val="140A1912"/>
    <w:rsid w:val="140C2170"/>
    <w:rsid w:val="141765D4"/>
    <w:rsid w:val="144B115A"/>
    <w:rsid w:val="14535FF1"/>
    <w:rsid w:val="14573249"/>
    <w:rsid w:val="149136B2"/>
    <w:rsid w:val="14AD579A"/>
    <w:rsid w:val="15362DB0"/>
    <w:rsid w:val="155B0FE8"/>
    <w:rsid w:val="155C0767"/>
    <w:rsid w:val="156A35F2"/>
    <w:rsid w:val="15747EA0"/>
    <w:rsid w:val="159270A0"/>
    <w:rsid w:val="159643E7"/>
    <w:rsid w:val="15A55B56"/>
    <w:rsid w:val="15AE7982"/>
    <w:rsid w:val="15C90C2F"/>
    <w:rsid w:val="15E038B4"/>
    <w:rsid w:val="1620326D"/>
    <w:rsid w:val="16577D75"/>
    <w:rsid w:val="16695657"/>
    <w:rsid w:val="16D76A65"/>
    <w:rsid w:val="16ED0036"/>
    <w:rsid w:val="170535D2"/>
    <w:rsid w:val="1709548E"/>
    <w:rsid w:val="170A79B9"/>
    <w:rsid w:val="173242D9"/>
    <w:rsid w:val="179E5456"/>
    <w:rsid w:val="17B374D2"/>
    <w:rsid w:val="17CF598E"/>
    <w:rsid w:val="18023FB5"/>
    <w:rsid w:val="18065F37"/>
    <w:rsid w:val="181626B4"/>
    <w:rsid w:val="1860154E"/>
    <w:rsid w:val="18784278"/>
    <w:rsid w:val="18787F5C"/>
    <w:rsid w:val="18833979"/>
    <w:rsid w:val="1895556D"/>
    <w:rsid w:val="18A24724"/>
    <w:rsid w:val="18AC5CCF"/>
    <w:rsid w:val="18C1177B"/>
    <w:rsid w:val="18D45555"/>
    <w:rsid w:val="18DC0363"/>
    <w:rsid w:val="18E11E1D"/>
    <w:rsid w:val="19055FA5"/>
    <w:rsid w:val="193E726F"/>
    <w:rsid w:val="19426E18"/>
    <w:rsid w:val="19860B90"/>
    <w:rsid w:val="198D3D53"/>
    <w:rsid w:val="19960E59"/>
    <w:rsid w:val="19C71013"/>
    <w:rsid w:val="19E24AB8"/>
    <w:rsid w:val="19E41BC5"/>
    <w:rsid w:val="19EB65F2"/>
    <w:rsid w:val="19FB2A6A"/>
    <w:rsid w:val="1A2A29FD"/>
    <w:rsid w:val="1A2E2687"/>
    <w:rsid w:val="1A2E48B7"/>
    <w:rsid w:val="1A4563DB"/>
    <w:rsid w:val="1A4B2E53"/>
    <w:rsid w:val="1A5605E9"/>
    <w:rsid w:val="1AE6196C"/>
    <w:rsid w:val="1B016F54"/>
    <w:rsid w:val="1B19589E"/>
    <w:rsid w:val="1B252495"/>
    <w:rsid w:val="1B297E82"/>
    <w:rsid w:val="1B302BE8"/>
    <w:rsid w:val="1B5508A0"/>
    <w:rsid w:val="1B6C5C72"/>
    <w:rsid w:val="1B781A52"/>
    <w:rsid w:val="1B9B432F"/>
    <w:rsid w:val="1BDA4A99"/>
    <w:rsid w:val="1BDB5721"/>
    <w:rsid w:val="1BE0016A"/>
    <w:rsid w:val="1C0302FC"/>
    <w:rsid w:val="1C3E2668"/>
    <w:rsid w:val="1C5E5533"/>
    <w:rsid w:val="1C627D25"/>
    <w:rsid w:val="1C632B49"/>
    <w:rsid w:val="1C76287C"/>
    <w:rsid w:val="1CBE65D3"/>
    <w:rsid w:val="1CC81EA1"/>
    <w:rsid w:val="1CE04199"/>
    <w:rsid w:val="1CEE11D4"/>
    <w:rsid w:val="1D602F1C"/>
    <w:rsid w:val="1D6634B9"/>
    <w:rsid w:val="1D8F0380"/>
    <w:rsid w:val="1DA43419"/>
    <w:rsid w:val="1DC046F7"/>
    <w:rsid w:val="1DD45AAC"/>
    <w:rsid w:val="1E004AF3"/>
    <w:rsid w:val="1E3E73CA"/>
    <w:rsid w:val="1E4C1AE7"/>
    <w:rsid w:val="1E8224E0"/>
    <w:rsid w:val="1E9E60BA"/>
    <w:rsid w:val="1EA46AEF"/>
    <w:rsid w:val="1EAF040D"/>
    <w:rsid w:val="1EB15DEE"/>
    <w:rsid w:val="1EC14893"/>
    <w:rsid w:val="1EC24D3D"/>
    <w:rsid w:val="1EC65D3D"/>
    <w:rsid w:val="1ED32208"/>
    <w:rsid w:val="1EE559BD"/>
    <w:rsid w:val="1F046865"/>
    <w:rsid w:val="1F0D2C87"/>
    <w:rsid w:val="1F3F0BDE"/>
    <w:rsid w:val="1F4C0184"/>
    <w:rsid w:val="1F4E4931"/>
    <w:rsid w:val="1F5F55B5"/>
    <w:rsid w:val="1F8359DC"/>
    <w:rsid w:val="1F8A6452"/>
    <w:rsid w:val="1F8E697E"/>
    <w:rsid w:val="1F8F6B7B"/>
    <w:rsid w:val="1F9E2816"/>
    <w:rsid w:val="1FA64F2A"/>
    <w:rsid w:val="1FC03E1C"/>
    <w:rsid w:val="1FE55717"/>
    <w:rsid w:val="1FFB1A16"/>
    <w:rsid w:val="1FFC7A87"/>
    <w:rsid w:val="1FFD0892"/>
    <w:rsid w:val="1FFF7AF3"/>
    <w:rsid w:val="200A3A07"/>
    <w:rsid w:val="20104D96"/>
    <w:rsid w:val="20252DDE"/>
    <w:rsid w:val="20275FFC"/>
    <w:rsid w:val="20476A09"/>
    <w:rsid w:val="204D0792"/>
    <w:rsid w:val="205B0707"/>
    <w:rsid w:val="208512E0"/>
    <w:rsid w:val="20BD316F"/>
    <w:rsid w:val="20DD55C0"/>
    <w:rsid w:val="20EE4881"/>
    <w:rsid w:val="211C7E96"/>
    <w:rsid w:val="21274A8D"/>
    <w:rsid w:val="212B0DCB"/>
    <w:rsid w:val="213845A4"/>
    <w:rsid w:val="21505D92"/>
    <w:rsid w:val="21663B25"/>
    <w:rsid w:val="2183599D"/>
    <w:rsid w:val="21957C48"/>
    <w:rsid w:val="219A5A52"/>
    <w:rsid w:val="21A734D8"/>
    <w:rsid w:val="21BF708C"/>
    <w:rsid w:val="21DC4443"/>
    <w:rsid w:val="21DC4E80"/>
    <w:rsid w:val="21E36C06"/>
    <w:rsid w:val="22012AEC"/>
    <w:rsid w:val="22031056"/>
    <w:rsid w:val="220F42BC"/>
    <w:rsid w:val="223C1E72"/>
    <w:rsid w:val="2240162B"/>
    <w:rsid w:val="224F66C7"/>
    <w:rsid w:val="2281199D"/>
    <w:rsid w:val="22B064FC"/>
    <w:rsid w:val="22BA5BB9"/>
    <w:rsid w:val="22BF05E0"/>
    <w:rsid w:val="22CF0F38"/>
    <w:rsid w:val="22EA7B20"/>
    <w:rsid w:val="22F64717"/>
    <w:rsid w:val="22FA5AB7"/>
    <w:rsid w:val="230A1BFB"/>
    <w:rsid w:val="231177A3"/>
    <w:rsid w:val="2351194D"/>
    <w:rsid w:val="23521D34"/>
    <w:rsid w:val="23566F63"/>
    <w:rsid w:val="237A0B45"/>
    <w:rsid w:val="237C4C1C"/>
    <w:rsid w:val="2409047A"/>
    <w:rsid w:val="241D0191"/>
    <w:rsid w:val="242363FC"/>
    <w:rsid w:val="24257BFD"/>
    <w:rsid w:val="243A22B2"/>
    <w:rsid w:val="244873A8"/>
    <w:rsid w:val="24715F1C"/>
    <w:rsid w:val="24912949"/>
    <w:rsid w:val="24DA545E"/>
    <w:rsid w:val="24E17924"/>
    <w:rsid w:val="24EC0B42"/>
    <w:rsid w:val="251866E2"/>
    <w:rsid w:val="251A182A"/>
    <w:rsid w:val="252E627A"/>
    <w:rsid w:val="25443823"/>
    <w:rsid w:val="25626DEB"/>
    <w:rsid w:val="25695674"/>
    <w:rsid w:val="2580651A"/>
    <w:rsid w:val="258A13D3"/>
    <w:rsid w:val="258E2106"/>
    <w:rsid w:val="25A8097E"/>
    <w:rsid w:val="25AA6808"/>
    <w:rsid w:val="25D4688F"/>
    <w:rsid w:val="25D6438C"/>
    <w:rsid w:val="25DC4098"/>
    <w:rsid w:val="25F602DD"/>
    <w:rsid w:val="262F6BBB"/>
    <w:rsid w:val="26372915"/>
    <w:rsid w:val="26431A21"/>
    <w:rsid w:val="26467763"/>
    <w:rsid w:val="26C64644"/>
    <w:rsid w:val="26D44D6F"/>
    <w:rsid w:val="26DE5BEE"/>
    <w:rsid w:val="26E2748C"/>
    <w:rsid w:val="27383422"/>
    <w:rsid w:val="274F5F7D"/>
    <w:rsid w:val="275F064C"/>
    <w:rsid w:val="27837604"/>
    <w:rsid w:val="27AB3D22"/>
    <w:rsid w:val="27B34984"/>
    <w:rsid w:val="27CE17BE"/>
    <w:rsid w:val="27D245AB"/>
    <w:rsid w:val="282C1E69"/>
    <w:rsid w:val="2856512A"/>
    <w:rsid w:val="285C482A"/>
    <w:rsid w:val="28A60C5F"/>
    <w:rsid w:val="28B7692F"/>
    <w:rsid w:val="28E13773"/>
    <w:rsid w:val="28EA2628"/>
    <w:rsid w:val="28F65471"/>
    <w:rsid w:val="28F73DEC"/>
    <w:rsid w:val="28F90ABD"/>
    <w:rsid w:val="292A6690"/>
    <w:rsid w:val="293272A7"/>
    <w:rsid w:val="297258DF"/>
    <w:rsid w:val="29730240"/>
    <w:rsid w:val="29B55A7A"/>
    <w:rsid w:val="29C176B1"/>
    <w:rsid w:val="29CE101E"/>
    <w:rsid w:val="29CF3C09"/>
    <w:rsid w:val="2A0F2F68"/>
    <w:rsid w:val="2A325735"/>
    <w:rsid w:val="2A3E46A9"/>
    <w:rsid w:val="2A68414C"/>
    <w:rsid w:val="2A9E6C17"/>
    <w:rsid w:val="2AD46197"/>
    <w:rsid w:val="2AE34015"/>
    <w:rsid w:val="2B2021E9"/>
    <w:rsid w:val="2B2F7D90"/>
    <w:rsid w:val="2B361B54"/>
    <w:rsid w:val="2B481888"/>
    <w:rsid w:val="2BA1745E"/>
    <w:rsid w:val="2BE13BB9"/>
    <w:rsid w:val="2BE75544"/>
    <w:rsid w:val="2C253BA1"/>
    <w:rsid w:val="2C271DE5"/>
    <w:rsid w:val="2C2A71DF"/>
    <w:rsid w:val="2C475FE3"/>
    <w:rsid w:val="2C66290D"/>
    <w:rsid w:val="2CC848E7"/>
    <w:rsid w:val="2CD14CA9"/>
    <w:rsid w:val="2CE35D0C"/>
    <w:rsid w:val="2CEE1212"/>
    <w:rsid w:val="2CF77A09"/>
    <w:rsid w:val="2D200D0E"/>
    <w:rsid w:val="2D256324"/>
    <w:rsid w:val="2D9E60D7"/>
    <w:rsid w:val="2E101A3F"/>
    <w:rsid w:val="2E220AB6"/>
    <w:rsid w:val="2E314FFF"/>
    <w:rsid w:val="2E4752A3"/>
    <w:rsid w:val="2E5073D1"/>
    <w:rsid w:val="2E5C456A"/>
    <w:rsid w:val="2E7F3BD6"/>
    <w:rsid w:val="2EAC12E4"/>
    <w:rsid w:val="2ECE2AAE"/>
    <w:rsid w:val="2ED77712"/>
    <w:rsid w:val="2EED2E72"/>
    <w:rsid w:val="2F1321AD"/>
    <w:rsid w:val="2F245B29"/>
    <w:rsid w:val="2F3A14BA"/>
    <w:rsid w:val="2F3A4AC9"/>
    <w:rsid w:val="2F504A69"/>
    <w:rsid w:val="2F7F2C36"/>
    <w:rsid w:val="2FB5144A"/>
    <w:rsid w:val="2FC22E49"/>
    <w:rsid w:val="2FC45E2A"/>
    <w:rsid w:val="2FCB1ABA"/>
    <w:rsid w:val="303D3985"/>
    <w:rsid w:val="30602DAB"/>
    <w:rsid w:val="30777D6F"/>
    <w:rsid w:val="309B1BA1"/>
    <w:rsid w:val="31143B90"/>
    <w:rsid w:val="3119173B"/>
    <w:rsid w:val="31192005"/>
    <w:rsid w:val="3159659D"/>
    <w:rsid w:val="315E2AC2"/>
    <w:rsid w:val="31784EF6"/>
    <w:rsid w:val="31B4418F"/>
    <w:rsid w:val="31C528A4"/>
    <w:rsid w:val="32073F04"/>
    <w:rsid w:val="32132BEF"/>
    <w:rsid w:val="32586854"/>
    <w:rsid w:val="32713E05"/>
    <w:rsid w:val="3279774D"/>
    <w:rsid w:val="327F012D"/>
    <w:rsid w:val="32EA4709"/>
    <w:rsid w:val="32F347CF"/>
    <w:rsid w:val="32F866A5"/>
    <w:rsid w:val="33080BC8"/>
    <w:rsid w:val="33121B08"/>
    <w:rsid w:val="333B5506"/>
    <w:rsid w:val="33524FA2"/>
    <w:rsid w:val="33576B0C"/>
    <w:rsid w:val="33837901"/>
    <w:rsid w:val="33890C8F"/>
    <w:rsid w:val="33907036"/>
    <w:rsid w:val="339312E5"/>
    <w:rsid w:val="33A930DF"/>
    <w:rsid w:val="33FD3DF8"/>
    <w:rsid w:val="34160775"/>
    <w:rsid w:val="344C23E9"/>
    <w:rsid w:val="344E3DEA"/>
    <w:rsid w:val="34656CE5"/>
    <w:rsid w:val="346911EC"/>
    <w:rsid w:val="34A060A7"/>
    <w:rsid w:val="34B3550A"/>
    <w:rsid w:val="351D5B33"/>
    <w:rsid w:val="35325A82"/>
    <w:rsid w:val="35411821"/>
    <w:rsid w:val="357C0AAC"/>
    <w:rsid w:val="35867B7C"/>
    <w:rsid w:val="35C31580"/>
    <w:rsid w:val="361659DF"/>
    <w:rsid w:val="361776CD"/>
    <w:rsid w:val="3621794D"/>
    <w:rsid w:val="36251143"/>
    <w:rsid w:val="36455341"/>
    <w:rsid w:val="36545584"/>
    <w:rsid w:val="36681030"/>
    <w:rsid w:val="36A302BA"/>
    <w:rsid w:val="36D6068F"/>
    <w:rsid w:val="36ED2A9F"/>
    <w:rsid w:val="37024FE0"/>
    <w:rsid w:val="374153A8"/>
    <w:rsid w:val="3756477D"/>
    <w:rsid w:val="37602F56"/>
    <w:rsid w:val="37810F65"/>
    <w:rsid w:val="37C1683E"/>
    <w:rsid w:val="37C30C14"/>
    <w:rsid w:val="37D16234"/>
    <w:rsid w:val="37DE5A4E"/>
    <w:rsid w:val="386123D4"/>
    <w:rsid w:val="38940132"/>
    <w:rsid w:val="389C364E"/>
    <w:rsid w:val="38A908CC"/>
    <w:rsid w:val="38AF2F46"/>
    <w:rsid w:val="38B66208"/>
    <w:rsid w:val="390E4B8F"/>
    <w:rsid w:val="39161217"/>
    <w:rsid w:val="39226EE1"/>
    <w:rsid w:val="392C4597"/>
    <w:rsid w:val="3945443A"/>
    <w:rsid w:val="3966255B"/>
    <w:rsid w:val="396A50BF"/>
    <w:rsid w:val="39865553"/>
    <w:rsid w:val="39967A80"/>
    <w:rsid w:val="39A84272"/>
    <w:rsid w:val="39C158AE"/>
    <w:rsid w:val="39FA1937"/>
    <w:rsid w:val="3A103193"/>
    <w:rsid w:val="3A361B71"/>
    <w:rsid w:val="3A414072"/>
    <w:rsid w:val="3A50320B"/>
    <w:rsid w:val="3A685AA2"/>
    <w:rsid w:val="3A7206CF"/>
    <w:rsid w:val="3A827E87"/>
    <w:rsid w:val="3AA80595"/>
    <w:rsid w:val="3AC0768C"/>
    <w:rsid w:val="3B007A89"/>
    <w:rsid w:val="3B345984"/>
    <w:rsid w:val="3B701141"/>
    <w:rsid w:val="3B742A87"/>
    <w:rsid w:val="3B7965AE"/>
    <w:rsid w:val="3BB201DF"/>
    <w:rsid w:val="3BE61375"/>
    <w:rsid w:val="3C050260"/>
    <w:rsid w:val="3C8A1D00"/>
    <w:rsid w:val="3C8C1F1C"/>
    <w:rsid w:val="3C925059"/>
    <w:rsid w:val="3C9E1C4F"/>
    <w:rsid w:val="3CD933D2"/>
    <w:rsid w:val="3CDC6ECB"/>
    <w:rsid w:val="3CEA5A1D"/>
    <w:rsid w:val="3CEF24AB"/>
    <w:rsid w:val="3CF41424"/>
    <w:rsid w:val="3D2F28A7"/>
    <w:rsid w:val="3D3B001C"/>
    <w:rsid w:val="3D3C24B3"/>
    <w:rsid w:val="3D404AB5"/>
    <w:rsid w:val="3D442A9D"/>
    <w:rsid w:val="3D4A148F"/>
    <w:rsid w:val="3D5560D6"/>
    <w:rsid w:val="3D727BF8"/>
    <w:rsid w:val="3D95702F"/>
    <w:rsid w:val="3DC41860"/>
    <w:rsid w:val="3DC94AAA"/>
    <w:rsid w:val="3DCD0878"/>
    <w:rsid w:val="3DFE1ADA"/>
    <w:rsid w:val="3E093C7E"/>
    <w:rsid w:val="3E135378"/>
    <w:rsid w:val="3E436C56"/>
    <w:rsid w:val="3E4E1A27"/>
    <w:rsid w:val="3E542E61"/>
    <w:rsid w:val="3E55633E"/>
    <w:rsid w:val="3E5D0C29"/>
    <w:rsid w:val="3E774506"/>
    <w:rsid w:val="3E7762B4"/>
    <w:rsid w:val="3E856781"/>
    <w:rsid w:val="3E980863"/>
    <w:rsid w:val="3EB26AE9"/>
    <w:rsid w:val="3EB55AB5"/>
    <w:rsid w:val="3EDC1FA8"/>
    <w:rsid w:val="3EE8287B"/>
    <w:rsid w:val="3EF67B21"/>
    <w:rsid w:val="3F6C0402"/>
    <w:rsid w:val="3F8F587F"/>
    <w:rsid w:val="3F95733A"/>
    <w:rsid w:val="3FF41637"/>
    <w:rsid w:val="40023826"/>
    <w:rsid w:val="40155D85"/>
    <w:rsid w:val="403609E9"/>
    <w:rsid w:val="405F5199"/>
    <w:rsid w:val="4064028E"/>
    <w:rsid w:val="406665E0"/>
    <w:rsid w:val="4071427D"/>
    <w:rsid w:val="4077259B"/>
    <w:rsid w:val="40AD2461"/>
    <w:rsid w:val="40B62373"/>
    <w:rsid w:val="40D41A30"/>
    <w:rsid w:val="40E1601E"/>
    <w:rsid w:val="40E340D5"/>
    <w:rsid w:val="40E90FBF"/>
    <w:rsid w:val="40F526FF"/>
    <w:rsid w:val="40F736DC"/>
    <w:rsid w:val="41597EF3"/>
    <w:rsid w:val="415B010F"/>
    <w:rsid w:val="41977D2C"/>
    <w:rsid w:val="41AF2209"/>
    <w:rsid w:val="41F27C08"/>
    <w:rsid w:val="41F8770C"/>
    <w:rsid w:val="41FD4D22"/>
    <w:rsid w:val="42220C2D"/>
    <w:rsid w:val="42386581"/>
    <w:rsid w:val="423C49D1"/>
    <w:rsid w:val="42554B5E"/>
    <w:rsid w:val="42575C32"/>
    <w:rsid w:val="42666D6B"/>
    <w:rsid w:val="42B317F0"/>
    <w:rsid w:val="42CB6BCE"/>
    <w:rsid w:val="42E54497"/>
    <w:rsid w:val="42E61C5A"/>
    <w:rsid w:val="42EA7C91"/>
    <w:rsid w:val="42F44377"/>
    <w:rsid w:val="42FF559D"/>
    <w:rsid w:val="43234C5C"/>
    <w:rsid w:val="43340C18"/>
    <w:rsid w:val="43551A34"/>
    <w:rsid w:val="435C3CCA"/>
    <w:rsid w:val="435D1027"/>
    <w:rsid w:val="4387343D"/>
    <w:rsid w:val="438A0837"/>
    <w:rsid w:val="439E659F"/>
    <w:rsid w:val="43B27D8E"/>
    <w:rsid w:val="43B43B06"/>
    <w:rsid w:val="43BD3E51"/>
    <w:rsid w:val="43BD7009"/>
    <w:rsid w:val="4413082D"/>
    <w:rsid w:val="441D5B50"/>
    <w:rsid w:val="441E0F30"/>
    <w:rsid w:val="44267F84"/>
    <w:rsid w:val="442E1B0B"/>
    <w:rsid w:val="44507CD3"/>
    <w:rsid w:val="446F0FA5"/>
    <w:rsid w:val="44805221"/>
    <w:rsid w:val="449927EC"/>
    <w:rsid w:val="44FE6E5F"/>
    <w:rsid w:val="453160E6"/>
    <w:rsid w:val="453C7A77"/>
    <w:rsid w:val="455E1F7C"/>
    <w:rsid w:val="4574179F"/>
    <w:rsid w:val="457C4AF8"/>
    <w:rsid w:val="45CA13BF"/>
    <w:rsid w:val="45D60B7B"/>
    <w:rsid w:val="45F15F77"/>
    <w:rsid w:val="45F823D0"/>
    <w:rsid w:val="461E795D"/>
    <w:rsid w:val="46207802"/>
    <w:rsid w:val="4636321D"/>
    <w:rsid w:val="463B406B"/>
    <w:rsid w:val="4658215E"/>
    <w:rsid w:val="468B40CF"/>
    <w:rsid w:val="46AB3F8F"/>
    <w:rsid w:val="46AE0CE1"/>
    <w:rsid w:val="46B75E1C"/>
    <w:rsid w:val="46D71FE6"/>
    <w:rsid w:val="4709285D"/>
    <w:rsid w:val="473006D9"/>
    <w:rsid w:val="473256EB"/>
    <w:rsid w:val="474D5F19"/>
    <w:rsid w:val="4755115C"/>
    <w:rsid w:val="476475F1"/>
    <w:rsid w:val="477C0DDF"/>
    <w:rsid w:val="478F6A8D"/>
    <w:rsid w:val="47B75250"/>
    <w:rsid w:val="47C96B4B"/>
    <w:rsid w:val="48174664"/>
    <w:rsid w:val="481903DC"/>
    <w:rsid w:val="48653621"/>
    <w:rsid w:val="487216E8"/>
    <w:rsid w:val="487970CD"/>
    <w:rsid w:val="487B1097"/>
    <w:rsid w:val="489B5C58"/>
    <w:rsid w:val="48A7442A"/>
    <w:rsid w:val="48BA16AF"/>
    <w:rsid w:val="48BB492E"/>
    <w:rsid w:val="48EB4973"/>
    <w:rsid w:val="48EB621C"/>
    <w:rsid w:val="48FC3F85"/>
    <w:rsid w:val="49105636"/>
    <w:rsid w:val="49583186"/>
    <w:rsid w:val="495913D8"/>
    <w:rsid w:val="49704044"/>
    <w:rsid w:val="49CD63D1"/>
    <w:rsid w:val="49E045C4"/>
    <w:rsid w:val="49E35145"/>
    <w:rsid w:val="49EE7223"/>
    <w:rsid w:val="49FB4C10"/>
    <w:rsid w:val="4A366632"/>
    <w:rsid w:val="4A3C6604"/>
    <w:rsid w:val="4A6022F2"/>
    <w:rsid w:val="4A7364C9"/>
    <w:rsid w:val="4A8E50B1"/>
    <w:rsid w:val="4ABF170F"/>
    <w:rsid w:val="4AE46B73"/>
    <w:rsid w:val="4B014813"/>
    <w:rsid w:val="4B447E66"/>
    <w:rsid w:val="4B773D97"/>
    <w:rsid w:val="4BB47648"/>
    <w:rsid w:val="4BBF0D4E"/>
    <w:rsid w:val="4BD20A22"/>
    <w:rsid w:val="4BD27220"/>
    <w:rsid w:val="4BD74836"/>
    <w:rsid w:val="4BF076A6"/>
    <w:rsid w:val="4C341388"/>
    <w:rsid w:val="4C525161"/>
    <w:rsid w:val="4C5D2E8C"/>
    <w:rsid w:val="4C653BF0"/>
    <w:rsid w:val="4C726593"/>
    <w:rsid w:val="4C7E35A5"/>
    <w:rsid w:val="4C8524E4"/>
    <w:rsid w:val="4C9455F7"/>
    <w:rsid w:val="4C9B3AB5"/>
    <w:rsid w:val="4C9D5A7F"/>
    <w:rsid w:val="4CCF550D"/>
    <w:rsid w:val="4D303A89"/>
    <w:rsid w:val="4D3933C8"/>
    <w:rsid w:val="4D4B1038"/>
    <w:rsid w:val="4D792DE5"/>
    <w:rsid w:val="4D7E7F63"/>
    <w:rsid w:val="4D8339D1"/>
    <w:rsid w:val="4E1A0FFE"/>
    <w:rsid w:val="4E1F4AD9"/>
    <w:rsid w:val="4E546612"/>
    <w:rsid w:val="4EA84268"/>
    <w:rsid w:val="4EB01A70"/>
    <w:rsid w:val="4ED85647"/>
    <w:rsid w:val="4EDE6A2F"/>
    <w:rsid w:val="4EF820B0"/>
    <w:rsid w:val="4F082F58"/>
    <w:rsid w:val="4F0B3174"/>
    <w:rsid w:val="4F644633"/>
    <w:rsid w:val="4F791066"/>
    <w:rsid w:val="4F7D74A2"/>
    <w:rsid w:val="4F870321"/>
    <w:rsid w:val="4F8B6063"/>
    <w:rsid w:val="4F8E16AF"/>
    <w:rsid w:val="4F926627"/>
    <w:rsid w:val="4F960564"/>
    <w:rsid w:val="4FB76E58"/>
    <w:rsid w:val="4FF57980"/>
    <w:rsid w:val="501A73E7"/>
    <w:rsid w:val="505E21B1"/>
    <w:rsid w:val="507C59AC"/>
    <w:rsid w:val="507F1928"/>
    <w:rsid w:val="50A15412"/>
    <w:rsid w:val="50BF0CB4"/>
    <w:rsid w:val="50C571B4"/>
    <w:rsid w:val="50FC089B"/>
    <w:rsid w:val="510C5E8C"/>
    <w:rsid w:val="51134562"/>
    <w:rsid w:val="5140482D"/>
    <w:rsid w:val="51592D52"/>
    <w:rsid w:val="515E457D"/>
    <w:rsid w:val="51605D4F"/>
    <w:rsid w:val="517C6D35"/>
    <w:rsid w:val="51A632FE"/>
    <w:rsid w:val="51A927D1"/>
    <w:rsid w:val="51CF69C1"/>
    <w:rsid w:val="52007BC5"/>
    <w:rsid w:val="521042D1"/>
    <w:rsid w:val="52140592"/>
    <w:rsid w:val="522A15B1"/>
    <w:rsid w:val="525739CF"/>
    <w:rsid w:val="52AD4A6F"/>
    <w:rsid w:val="52AF3E17"/>
    <w:rsid w:val="52CF6267"/>
    <w:rsid w:val="530A54F1"/>
    <w:rsid w:val="536019BA"/>
    <w:rsid w:val="536565AC"/>
    <w:rsid w:val="539D1769"/>
    <w:rsid w:val="53A5264E"/>
    <w:rsid w:val="53F45F01"/>
    <w:rsid w:val="54191E17"/>
    <w:rsid w:val="541F28AF"/>
    <w:rsid w:val="54387E3C"/>
    <w:rsid w:val="543D1653"/>
    <w:rsid w:val="5453236C"/>
    <w:rsid w:val="54867B70"/>
    <w:rsid w:val="549D2D3D"/>
    <w:rsid w:val="54CB6F02"/>
    <w:rsid w:val="552A3C28"/>
    <w:rsid w:val="5531145B"/>
    <w:rsid w:val="555962BC"/>
    <w:rsid w:val="55627866"/>
    <w:rsid w:val="557C1FAA"/>
    <w:rsid w:val="55986DE4"/>
    <w:rsid w:val="55B654BC"/>
    <w:rsid w:val="55D3606E"/>
    <w:rsid w:val="55D504D0"/>
    <w:rsid w:val="56017F43"/>
    <w:rsid w:val="560E2B1B"/>
    <w:rsid w:val="561D03E0"/>
    <w:rsid w:val="56442F20"/>
    <w:rsid w:val="56CC22E8"/>
    <w:rsid w:val="56FC3680"/>
    <w:rsid w:val="57174680"/>
    <w:rsid w:val="572A43B4"/>
    <w:rsid w:val="572E0949"/>
    <w:rsid w:val="573568B4"/>
    <w:rsid w:val="57376AD1"/>
    <w:rsid w:val="573E2BBC"/>
    <w:rsid w:val="574B0F7D"/>
    <w:rsid w:val="57853BD7"/>
    <w:rsid w:val="57F1794F"/>
    <w:rsid w:val="580D54C3"/>
    <w:rsid w:val="58417C07"/>
    <w:rsid w:val="589F0489"/>
    <w:rsid w:val="58AF23C2"/>
    <w:rsid w:val="58E416A2"/>
    <w:rsid w:val="594E6112"/>
    <w:rsid w:val="59637709"/>
    <w:rsid w:val="59703B78"/>
    <w:rsid w:val="59747B68"/>
    <w:rsid w:val="598118FE"/>
    <w:rsid w:val="59892BEA"/>
    <w:rsid w:val="59B461B6"/>
    <w:rsid w:val="59BA7BF0"/>
    <w:rsid w:val="59C61376"/>
    <w:rsid w:val="59D2488F"/>
    <w:rsid w:val="59EA04D2"/>
    <w:rsid w:val="59EC1ED9"/>
    <w:rsid w:val="5A040205"/>
    <w:rsid w:val="5A0A04CC"/>
    <w:rsid w:val="5A21183E"/>
    <w:rsid w:val="5A252C10"/>
    <w:rsid w:val="5A2D0F29"/>
    <w:rsid w:val="5A584D94"/>
    <w:rsid w:val="5A8B1542"/>
    <w:rsid w:val="5A9F6E67"/>
    <w:rsid w:val="5AC16DDD"/>
    <w:rsid w:val="5AC91207"/>
    <w:rsid w:val="5ACC12DE"/>
    <w:rsid w:val="5AD00DCE"/>
    <w:rsid w:val="5B392E17"/>
    <w:rsid w:val="5B3D1165"/>
    <w:rsid w:val="5B4517BC"/>
    <w:rsid w:val="5B5D585B"/>
    <w:rsid w:val="5B6339F0"/>
    <w:rsid w:val="5B6A7475"/>
    <w:rsid w:val="5B922527"/>
    <w:rsid w:val="5C207B33"/>
    <w:rsid w:val="5C234A62"/>
    <w:rsid w:val="5C2E7F99"/>
    <w:rsid w:val="5C4750C0"/>
    <w:rsid w:val="5C4A66D1"/>
    <w:rsid w:val="5C6C116D"/>
    <w:rsid w:val="5C8E0F41"/>
    <w:rsid w:val="5CB12E81"/>
    <w:rsid w:val="5CCC3481"/>
    <w:rsid w:val="5CD43EAD"/>
    <w:rsid w:val="5CE84AF5"/>
    <w:rsid w:val="5D09386C"/>
    <w:rsid w:val="5D602EAA"/>
    <w:rsid w:val="5D731EE5"/>
    <w:rsid w:val="5D944335"/>
    <w:rsid w:val="5DB26EB1"/>
    <w:rsid w:val="5DD62B9F"/>
    <w:rsid w:val="5DD7522E"/>
    <w:rsid w:val="5E082F75"/>
    <w:rsid w:val="5E3D0FC9"/>
    <w:rsid w:val="5E40270F"/>
    <w:rsid w:val="5E4E02F3"/>
    <w:rsid w:val="5E587A58"/>
    <w:rsid w:val="5E613745"/>
    <w:rsid w:val="5E7826B8"/>
    <w:rsid w:val="5E8E6FD6"/>
    <w:rsid w:val="5EA00F75"/>
    <w:rsid w:val="5EE21A71"/>
    <w:rsid w:val="5EFB44C5"/>
    <w:rsid w:val="5F226E9F"/>
    <w:rsid w:val="5F820CDD"/>
    <w:rsid w:val="5FC24B99"/>
    <w:rsid w:val="5FF57762"/>
    <w:rsid w:val="602D42F6"/>
    <w:rsid w:val="6033635C"/>
    <w:rsid w:val="604F09E7"/>
    <w:rsid w:val="607E57DC"/>
    <w:rsid w:val="609B1E7E"/>
    <w:rsid w:val="60A15E3E"/>
    <w:rsid w:val="60AE60A4"/>
    <w:rsid w:val="60B60A66"/>
    <w:rsid w:val="60DC1F5B"/>
    <w:rsid w:val="60F35A75"/>
    <w:rsid w:val="6118527D"/>
    <w:rsid w:val="6138147B"/>
    <w:rsid w:val="617D3332"/>
    <w:rsid w:val="619E1C26"/>
    <w:rsid w:val="61B22229"/>
    <w:rsid w:val="61E909C7"/>
    <w:rsid w:val="61EE2EFF"/>
    <w:rsid w:val="622141ED"/>
    <w:rsid w:val="62265778"/>
    <w:rsid w:val="623D0EA0"/>
    <w:rsid w:val="624F23FA"/>
    <w:rsid w:val="628A03FC"/>
    <w:rsid w:val="62943029"/>
    <w:rsid w:val="62B60E9E"/>
    <w:rsid w:val="62C531E2"/>
    <w:rsid w:val="62E47B0C"/>
    <w:rsid w:val="63057C1F"/>
    <w:rsid w:val="630E1988"/>
    <w:rsid w:val="630F48A6"/>
    <w:rsid w:val="631622A3"/>
    <w:rsid w:val="63214D15"/>
    <w:rsid w:val="6368410D"/>
    <w:rsid w:val="638A4B73"/>
    <w:rsid w:val="63974B7F"/>
    <w:rsid w:val="63E63410"/>
    <w:rsid w:val="640A450E"/>
    <w:rsid w:val="643B7C00"/>
    <w:rsid w:val="643C1B9B"/>
    <w:rsid w:val="646222F6"/>
    <w:rsid w:val="64681A99"/>
    <w:rsid w:val="64801AB7"/>
    <w:rsid w:val="648E2843"/>
    <w:rsid w:val="64903246"/>
    <w:rsid w:val="64A86918"/>
    <w:rsid w:val="64AF375E"/>
    <w:rsid w:val="64EA71F9"/>
    <w:rsid w:val="65293EFC"/>
    <w:rsid w:val="654226A2"/>
    <w:rsid w:val="656A1E1F"/>
    <w:rsid w:val="65A02DF3"/>
    <w:rsid w:val="65A17F37"/>
    <w:rsid w:val="65AE7F5E"/>
    <w:rsid w:val="65C47472"/>
    <w:rsid w:val="65DB5480"/>
    <w:rsid w:val="65EB11B2"/>
    <w:rsid w:val="65EB7404"/>
    <w:rsid w:val="661A4691"/>
    <w:rsid w:val="661E7762"/>
    <w:rsid w:val="662E109F"/>
    <w:rsid w:val="66652D12"/>
    <w:rsid w:val="668B029F"/>
    <w:rsid w:val="669811DF"/>
    <w:rsid w:val="66B23A7E"/>
    <w:rsid w:val="66B45A48"/>
    <w:rsid w:val="66D13753"/>
    <w:rsid w:val="66E1272B"/>
    <w:rsid w:val="66EF4CD2"/>
    <w:rsid w:val="66F66060"/>
    <w:rsid w:val="67186B34"/>
    <w:rsid w:val="673C09AC"/>
    <w:rsid w:val="67911EB1"/>
    <w:rsid w:val="679A2E90"/>
    <w:rsid w:val="679F04A6"/>
    <w:rsid w:val="67A24EBF"/>
    <w:rsid w:val="684150B9"/>
    <w:rsid w:val="6850354E"/>
    <w:rsid w:val="68795550"/>
    <w:rsid w:val="68896A60"/>
    <w:rsid w:val="68907DEF"/>
    <w:rsid w:val="689616BC"/>
    <w:rsid w:val="689E58B0"/>
    <w:rsid w:val="68E5013A"/>
    <w:rsid w:val="68EA39A3"/>
    <w:rsid w:val="68EF0309"/>
    <w:rsid w:val="69001A79"/>
    <w:rsid w:val="690E6CA0"/>
    <w:rsid w:val="69287507"/>
    <w:rsid w:val="692A3D9F"/>
    <w:rsid w:val="692A7ABA"/>
    <w:rsid w:val="693624EA"/>
    <w:rsid w:val="693A74A7"/>
    <w:rsid w:val="693E3CEF"/>
    <w:rsid w:val="699105FD"/>
    <w:rsid w:val="69CC4E56"/>
    <w:rsid w:val="69E63E4A"/>
    <w:rsid w:val="69F10D61"/>
    <w:rsid w:val="69F4080C"/>
    <w:rsid w:val="6A331379"/>
    <w:rsid w:val="6A3550F2"/>
    <w:rsid w:val="6A356EA0"/>
    <w:rsid w:val="6A674B7F"/>
    <w:rsid w:val="6A970DF1"/>
    <w:rsid w:val="6AA54025"/>
    <w:rsid w:val="6AB853DB"/>
    <w:rsid w:val="6AC65D4A"/>
    <w:rsid w:val="6AC73B45"/>
    <w:rsid w:val="6AD47A24"/>
    <w:rsid w:val="6AD62CCC"/>
    <w:rsid w:val="6AF00B80"/>
    <w:rsid w:val="6AF37F52"/>
    <w:rsid w:val="6AF604DE"/>
    <w:rsid w:val="6B230A59"/>
    <w:rsid w:val="6B282560"/>
    <w:rsid w:val="6B4D5CBE"/>
    <w:rsid w:val="6B61259E"/>
    <w:rsid w:val="6B797260"/>
    <w:rsid w:val="6B7C7406"/>
    <w:rsid w:val="6B8C2744"/>
    <w:rsid w:val="6B9A1482"/>
    <w:rsid w:val="6BBB6068"/>
    <w:rsid w:val="6BCF2AB7"/>
    <w:rsid w:val="6BE82855"/>
    <w:rsid w:val="6C2E653B"/>
    <w:rsid w:val="6C474C68"/>
    <w:rsid w:val="6C4B2BB0"/>
    <w:rsid w:val="6C5775A1"/>
    <w:rsid w:val="6C5F0CBC"/>
    <w:rsid w:val="6C6475C8"/>
    <w:rsid w:val="6C6F2CB4"/>
    <w:rsid w:val="6C9560D6"/>
    <w:rsid w:val="6C9D5B36"/>
    <w:rsid w:val="6C9F799D"/>
    <w:rsid w:val="6CAD3615"/>
    <w:rsid w:val="6CAE6A63"/>
    <w:rsid w:val="6CBF6EF4"/>
    <w:rsid w:val="6CCE0EE6"/>
    <w:rsid w:val="6CD04C5E"/>
    <w:rsid w:val="6D26751F"/>
    <w:rsid w:val="6D6E7CFA"/>
    <w:rsid w:val="6DA8114A"/>
    <w:rsid w:val="6DB3159D"/>
    <w:rsid w:val="6E470F4F"/>
    <w:rsid w:val="6E5538CD"/>
    <w:rsid w:val="6E6A462D"/>
    <w:rsid w:val="6E701AAD"/>
    <w:rsid w:val="6E865F1C"/>
    <w:rsid w:val="6EAE7978"/>
    <w:rsid w:val="6EC16F54"/>
    <w:rsid w:val="6EC460FA"/>
    <w:rsid w:val="6F2B0871"/>
    <w:rsid w:val="6F2F096D"/>
    <w:rsid w:val="6F451933"/>
    <w:rsid w:val="6F4D5433"/>
    <w:rsid w:val="6F701F17"/>
    <w:rsid w:val="6F725636"/>
    <w:rsid w:val="6F764DA8"/>
    <w:rsid w:val="6F814935"/>
    <w:rsid w:val="6F865AA7"/>
    <w:rsid w:val="6F9E4D32"/>
    <w:rsid w:val="6FAF14A2"/>
    <w:rsid w:val="6FCF2480"/>
    <w:rsid w:val="6FD9207B"/>
    <w:rsid w:val="6FF15617"/>
    <w:rsid w:val="7012558D"/>
    <w:rsid w:val="704B49E5"/>
    <w:rsid w:val="705160B5"/>
    <w:rsid w:val="707249EA"/>
    <w:rsid w:val="70AC59E2"/>
    <w:rsid w:val="70EC47EA"/>
    <w:rsid w:val="70FF5B11"/>
    <w:rsid w:val="710446C8"/>
    <w:rsid w:val="710870BC"/>
    <w:rsid w:val="714D0F73"/>
    <w:rsid w:val="71715C11"/>
    <w:rsid w:val="717209D9"/>
    <w:rsid w:val="71733E34"/>
    <w:rsid w:val="71804EA4"/>
    <w:rsid w:val="71BE3C1E"/>
    <w:rsid w:val="71E847F7"/>
    <w:rsid w:val="71FB452B"/>
    <w:rsid w:val="72051613"/>
    <w:rsid w:val="720E2EC1"/>
    <w:rsid w:val="723D0DAC"/>
    <w:rsid w:val="72563E57"/>
    <w:rsid w:val="7285473C"/>
    <w:rsid w:val="728F1117"/>
    <w:rsid w:val="72F30CC4"/>
    <w:rsid w:val="7309711B"/>
    <w:rsid w:val="73351CBE"/>
    <w:rsid w:val="73515FED"/>
    <w:rsid w:val="735C724B"/>
    <w:rsid w:val="73615A27"/>
    <w:rsid w:val="737D2045"/>
    <w:rsid w:val="73962A95"/>
    <w:rsid w:val="73C27671"/>
    <w:rsid w:val="73C619B4"/>
    <w:rsid w:val="73C61ADF"/>
    <w:rsid w:val="73CB617F"/>
    <w:rsid w:val="73D129E3"/>
    <w:rsid w:val="73EF4563"/>
    <w:rsid w:val="74004651"/>
    <w:rsid w:val="74106453"/>
    <w:rsid w:val="74281823"/>
    <w:rsid w:val="742C1916"/>
    <w:rsid w:val="743B1556"/>
    <w:rsid w:val="746829B7"/>
    <w:rsid w:val="74AF5AA0"/>
    <w:rsid w:val="74FB048F"/>
    <w:rsid w:val="751A0951"/>
    <w:rsid w:val="75226272"/>
    <w:rsid w:val="753164B5"/>
    <w:rsid w:val="7560335D"/>
    <w:rsid w:val="756920F3"/>
    <w:rsid w:val="75DD302D"/>
    <w:rsid w:val="75F350FE"/>
    <w:rsid w:val="75F776FF"/>
    <w:rsid w:val="75FF0362"/>
    <w:rsid w:val="760A4054"/>
    <w:rsid w:val="76156EB7"/>
    <w:rsid w:val="763841D2"/>
    <w:rsid w:val="763B41A3"/>
    <w:rsid w:val="766C541A"/>
    <w:rsid w:val="76866C64"/>
    <w:rsid w:val="76BF1DC1"/>
    <w:rsid w:val="76F679B7"/>
    <w:rsid w:val="77197BA1"/>
    <w:rsid w:val="7720699B"/>
    <w:rsid w:val="77304C77"/>
    <w:rsid w:val="773B361B"/>
    <w:rsid w:val="77521091"/>
    <w:rsid w:val="777E147A"/>
    <w:rsid w:val="77A41E00"/>
    <w:rsid w:val="77C27899"/>
    <w:rsid w:val="77E45A61"/>
    <w:rsid w:val="780B1240"/>
    <w:rsid w:val="782A5B6A"/>
    <w:rsid w:val="782F0311"/>
    <w:rsid w:val="78312C87"/>
    <w:rsid w:val="78400B56"/>
    <w:rsid w:val="7844467A"/>
    <w:rsid w:val="7847671C"/>
    <w:rsid w:val="786170B2"/>
    <w:rsid w:val="7879264D"/>
    <w:rsid w:val="78992219"/>
    <w:rsid w:val="78B418D7"/>
    <w:rsid w:val="78BD078C"/>
    <w:rsid w:val="78C55C74"/>
    <w:rsid w:val="78D87374"/>
    <w:rsid w:val="79334EF2"/>
    <w:rsid w:val="794D5326"/>
    <w:rsid w:val="7956473D"/>
    <w:rsid w:val="79711576"/>
    <w:rsid w:val="798D1B37"/>
    <w:rsid w:val="79DA711C"/>
    <w:rsid w:val="79FC7092"/>
    <w:rsid w:val="7A063D97"/>
    <w:rsid w:val="7A0643B5"/>
    <w:rsid w:val="7A23414C"/>
    <w:rsid w:val="7A8A6D94"/>
    <w:rsid w:val="7AB717F9"/>
    <w:rsid w:val="7AF20495"/>
    <w:rsid w:val="7B0C398F"/>
    <w:rsid w:val="7B4011D8"/>
    <w:rsid w:val="7B60790F"/>
    <w:rsid w:val="7B7A7621"/>
    <w:rsid w:val="7B9D48A5"/>
    <w:rsid w:val="7BDE7397"/>
    <w:rsid w:val="7BF63742"/>
    <w:rsid w:val="7C0C1443"/>
    <w:rsid w:val="7C2A77E6"/>
    <w:rsid w:val="7C6D0816"/>
    <w:rsid w:val="7C72188D"/>
    <w:rsid w:val="7CA572A5"/>
    <w:rsid w:val="7CAC007D"/>
    <w:rsid w:val="7CCF01D0"/>
    <w:rsid w:val="7CEF2EDE"/>
    <w:rsid w:val="7D1E37C3"/>
    <w:rsid w:val="7D293DEE"/>
    <w:rsid w:val="7D4E22FA"/>
    <w:rsid w:val="7D542117"/>
    <w:rsid w:val="7D600FE9"/>
    <w:rsid w:val="7D745762"/>
    <w:rsid w:val="7DA22646"/>
    <w:rsid w:val="7DAB2996"/>
    <w:rsid w:val="7DAE2D99"/>
    <w:rsid w:val="7DD43246"/>
    <w:rsid w:val="7DE519C8"/>
    <w:rsid w:val="7E1833F1"/>
    <w:rsid w:val="7E225C69"/>
    <w:rsid w:val="7E237D01"/>
    <w:rsid w:val="7E3443A3"/>
    <w:rsid w:val="7E5F7095"/>
    <w:rsid w:val="7ED377DB"/>
    <w:rsid w:val="7ED71E7C"/>
    <w:rsid w:val="7EE8052D"/>
    <w:rsid w:val="7F2350C1"/>
    <w:rsid w:val="7F3B065C"/>
    <w:rsid w:val="7F49721F"/>
    <w:rsid w:val="7F54171E"/>
    <w:rsid w:val="7F6D0EB5"/>
    <w:rsid w:val="7F705A51"/>
    <w:rsid w:val="7F78365F"/>
    <w:rsid w:val="7F834BBE"/>
    <w:rsid w:val="7FCC39A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1624"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3">
    <w:name w:val="heading 2"/>
    <w:basedOn w:val="1"/>
    <w:next w:val="4"/>
    <w:link w:val="25"/>
    <w:qFormat/>
    <w:uiPriority w:val="0"/>
    <w:pPr>
      <w:keepNext/>
      <w:keepLines/>
      <w:adjustRightInd w:val="0"/>
      <w:snapToGrid w:val="0"/>
      <w:spacing w:line="336" w:lineRule="auto"/>
      <w:ind w:firstLine="601"/>
      <w:outlineLvl w:val="1"/>
    </w:pPr>
    <w:rPr>
      <w:rFonts w:eastAsia="仿宋_GB2312"/>
      <w:b/>
      <w:kern w:val="0"/>
      <w:sz w:val="30"/>
      <w:szCs w:val="20"/>
    </w:rPr>
  </w:style>
  <w:style w:type="paragraph" w:styleId="5">
    <w:name w:val="heading 3"/>
    <w:basedOn w:val="1"/>
    <w:next w:val="1"/>
    <w:link w:val="26"/>
    <w:qFormat/>
    <w:uiPriority w:val="0"/>
    <w:pPr>
      <w:keepNext/>
      <w:keepLines/>
      <w:adjustRightInd w:val="0"/>
      <w:snapToGrid w:val="0"/>
      <w:spacing w:line="336" w:lineRule="auto"/>
      <w:ind w:firstLine="601"/>
      <w:textAlignment w:val="baseline"/>
      <w:outlineLvl w:val="2"/>
    </w:pPr>
    <w:rPr>
      <w:rFonts w:ascii="仿宋_GB2312" w:eastAsia="仿宋_GB2312"/>
      <w:b/>
      <w:kern w:val="0"/>
      <w:sz w:val="32"/>
      <w:szCs w:val="20"/>
    </w:rPr>
  </w:style>
  <w:style w:type="character" w:default="1" w:styleId="22">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adjustRightInd w:val="0"/>
      <w:spacing w:line="360" w:lineRule="atLeast"/>
      <w:ind w:firstLine="420"/>
      <w:jc w:val="left"/>
      <w:textAlignment w:val="baseline"/>
    </w:pPr>
    <w:rPr>
      <w:rFonts w:ascii="Calibri" w:hAnsi="Calibri" w:cs="黑体"/>
      <w:kern w:val="0"/>
      <w:sz w:val="24"/>
      <w:szCs w:val="22"/>
    </w:rPr>
  </w:style>
  <w:style w:type="paragraph" w:styleId="6">
    <w:name w:val="table of authorities"/>
    <w:basedOn w:val="1"/>
    <w:next w:val="1"/>
    <w:unhideWhenUsed/>
    <w:qFormat/>
    <w:uiPriority w:val="99"/>
    <w:pPr>
      <w:ind w:left="420" w:leftChars="200"/>
    </w:pPr>
    <w:rPr>
      <w:rFonts w:eastAsia="宋体"/>
      <w:sz w:val="24"/>
    </w:rPr>
  </w:style>
  <w:style w:type="paragraph" w:styleId="7">
    <w:name w:val="annotation text"/>
    <w:basedOn w:val="1"/>
    <w:qFormat/>
    <w:uiPriority w:val="0"/>
    <w:pPr>
      <w:jc w:val="left"/>
    </w:pPr>
  </w:style>
  <w:style w:type="paragraph" w:styleId="8">
    <w:name w:val="Body Text"/>
    <w:basedOn w:val="1"/>
    <w:link w:val="27"/>
    <w:qFormat/>
    <w:uiPriority w:val="99"/>
    <w:pPr>
      <w:spacing w:after="120"/>
    </w:pPr>
    <w:rPr>
      <w:szCs w:val="20"/>
    </w:rPr>
  </w:style>
  <w:style w:type="paragraph" w:styleId="9">
    <w:name w:val="Body Text Indent"/>
    <w:basedOn w:val="1"/>
    <w:link w:val="28"/>
    <w:qFormat/>
    <w:uiPriority w:val="0"/>
    <w:pPr>
      <w:spacing w:after="120"/>
      <w:ind w:left="420" w:leftChars="200"/>
    </w:pPr>
  </w:style>
  <w:style w:type="paragraph" w:styleId="10">
    <w:name w:val="Plain Text"/>
    <w:basedOn w:val="1"/>
    <w:link w:val="29"/>
    <w:qFormat/>
    <w:uiPriority w:val="0"/>
    <w:rPr>
      <w:rFonts w:ascii="宋体" w:hAnsi="Courier New"/>
      <w:szCs w:val="21"/>
    </w:rPr>
  </w:style>
  <w:style w:type="paragraph" w:styleId="11">
    <w:name w:val="Date"/>
    <w:basedOn w:val="1"/>
    <w:next w:val="1"/>
    <w:link w:val="30"/>
    <w:qFormat/>
    <w:uiPriority w:val="0"/>
    <w:pPr>
      <w:ind w:left="100" w:leftChars="2500"/>
    </w:pPr>
  </w:style>
  <w:style w:type="paragraph" w:styleId="12">
    <w:name w:val="Balloon Text"/>
    <w:basedOn w:val="1"/>
    <w:link w:val="31"/>
    <w:qFormat/>
    <w:uiPriority w:val="0"/>
    <w:rPr>
      <w:sz w:val="18"/>
      <w:szCs w:val="18"/>
    </w:rPr>
  </w:style>
  <w:style w:type="paragraph" w:styleId="13">
    <w:name w:val="footer"/>
    <w:basedOn w:val="1"/>
    <w:link w:val="32"/>
    <w:qFormat/>
    <w:uiPriority w:val="99"/>
    <w:pPr>
      <w:tabs>
        <w:tab w:val="center" w:pos="4153"/>
        <w:tab w:val="right" w:pos="8306"/>
      </w:tabs>
      <w:snapToGrid w:val="0"/>
    </w:pPr>
    <w:rPr>
      <w:sz w:val="20"/>
      <w:szCs w:val="20"/>
    </w:rPr>
  </w:style>
  <w:style w:type="paragraph" w:styleId="14">
    <w:name w:val="header"/>
    <w:basedOn w:val="1"/>
    <w:link w:val="33"/>
    <w:qFormat/>
    <w:uiPriority w:val="99"/>
    <w:pPr>
      <w:tabs>
        <w:tab w:val="center" w:pos="4153"/>
        <w:tab w:val="right" w:pos="8306"/>
      </w:tabs>
      <w:snapToGrid w:val="0"/>
    </w:pPr>
    <w:rPr>
      <w:sz w:val="20"/>
      <w:szCs w:val="20"/>
    </w:rPr>
  </w:style>
  <w:style w:type="paragraph" w:styleId="15">
    <w:name w:val="Subtitle"/>
    <w:basedOn w:val="1"/>
    <w:next w:val="1"/>
    <w:link w:val="49"/>
    <w:qFormat/>
    <w:uiPriority w:val="0"/>
    <w:pPr>
      <w:spacing w:before="240" w:after="60" w:line="312" w:lineRule="auto"/>
      <w:jc w:val="center"/>
      <w:outlineLvl w:val="1"/>
    </w:pPr>
    <w:rPr>
      <w:rFonts w:ascii="等线 Light" w:hAnsi="等线 Light"/>
      <w:b/>
      <w:bCs/>
      <w:kern w:val="28"/>
      <w:sz w:val="32"/>
      <w:szCs w:val="32"/>
    </w:rPr>
  </w:style>
  <w:style w:type="paragraph" w:styleId="16">
    <w:name w:val="Body Text Indent 3"/>
    <w:basedOn w:val="1"/>
    <w:qFormat/>
    <w:uiPriority w:val="1624"/>
    <w:pPr>
      <w:autoSpaceDE w:val="0"/>
      <w:autoSpaceDN w:val="0"/>
      <w:adjustRightInd w:val="0"/>
      <w:spacing w:line="320" w:lineRule="exact"/>
      <w:ind w:left="567" w:leftChars="270" w:firstLine="389" w:firstLineChars="162"/>
    </w:pPr>
    <w:rPr>
      <w:rFonts w:ascii="楷体_GB2312" w:hAnsi="宋体" w:eastAsia="楷体_GB2312"/>
      <w:sz w:val="24"/>
      <w:szCs w:val="24"/>
    </w:rPr>
  </w:style>
  <w:style w:type="paragraph" w:styleId="17">
    <w:name w:val="Normal (Web)"/>
    <w:basedOn w:val="1"/>
    <w:qFormat/>
    <w:uiPriority w:val="99"/>
    <w:pPr>
      <w:widowControl/>
      <w:spacing w:before="100" w:beforeAutospacing="1" w:after="100" w:afterAutospacing="1"/>
      <w:jc w:val="left"/>
    </w:pPr>
    <w:rPr>
      <w:rFonts w:ascii="宋体" w:hAnsi="宋体"/>
      <w:color w:val="000000"/>
      <w:kern w:val="0"/>
      <w:sz w:val="18"/>
      <w:szCs w:val="18"/>
    </w:rPr>
  </w:style>
  <w:style w:type="paragraph" w:styleId="18">
    <w:name w:val="Body Text First Indent"/>
    <w:basedOn w:val="8"/>
    <w:link w:val="34"/>
    <w:qFormat/>
    <w:uiPriority w:val="0"/>
    <w:pPr>
      <w:ind w:firstLine="420" w:firstLineChars="100"/>
    </w:pPr>
    <w:rPr>
      <w:kern w:val="0"/>
      <w:sz w:val="20"/>
      <w:szCs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1">
    <w:name w:val="Table Theme"/>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styleId="24">
    <w:name w:val="Hyperlink"/>
    <w:unhideWhenUsed/>
    <w:qFormat/>
    <w:uiPriority w:val="0"/>
    <w:rPr>
      <w:color w:val="0000FF"/>
      <w:u w:val="single"/>
    </w:rPr>
  </w:style>
  <w:style w:type="character" w:customStyle="1" w:styleId="25">
    <w:name w:val="标题 2 字符"/>
    <w:link w:val="3"/>
    <w:qFormat/>
    <w:uiPriority w:val="0"/>
    <w:rPr>
      <w:rFonts w:eastAsia="仿宋_GB2312"/>
      <w:b/>
      <w:sz w:val="30"/>
    </w:rPr>
  </w:style>
  <w:style w:type="character" w:customStyle="1" w:styleId="26">
    <w:name w:val="标题 3 字符"/>
    <w:link w:val="5"/>
    <w:qFormat/>
    <w:uiPriority w:val="0"/>
    <w:rPr>
      <w:rFonts w:ascii="仿宋_GB2312" w:eastAsia="仿宋_GB2312"/>
      <w:b/>
      <w:sz w:val="32"/>
    </w:rPr>
  </w:style>
  <w:style w:type="character" w:customStyle="1" w:styleId="27">
    <w:name w:val="正文文本 字符"/>
    <w:link w:val="8"/>
    <w:qFormat/>
    <w:uiPriority w:val="99"/>
    <w:rPr>
      <w:kern w:val="2"/>
      <w:sz w:val="21"/>
    </w:rPr>
  </w:style>
  <w:style w:type="character" w:customStyle="1" w:styleId="28">
    <w:name w:val="正文文本缩进 字符"/>
    <w:link w:val="9"/>
    <w:qFormat/>
    <w:uiPriority w:val="0"/>
    <w:rPr>
      <w:kern w:val="2"/>
      <w:sz w:val="21"/>
      <w:szCs w:val="24"/>
    </w:rPr>
  </w:style>
  <w:style w:type="character" w:customStyle="1" w:styleId="29">
    <w:name w:val="纯文本 字符"/>
    <w:link w:val="10"/>
    <w:qFormat/>
    <w:uiPriority w:val="0"/>
    <w:rPr>
      <w:rFonts w:ascii="宋体" w:hAnsi="Courier New" w:cs="黑体"/>
      <w:kern w:val="2"/>
      <w:sz w:val="21"/>
      <w:szCs w:val="21"/>
    </w:rPr>
  </w:style>
  <w:style w:type="character" w:customStyle="1" w:styleId="30">
    <w:name w:val="日期 字符"/>
    <w:link w:val="11"/>
    <w:qFormat/>
    <w:uiPriority w:val="0"/>
    <w:rPr>
      <w:kern w:val="2"/>
      <w:sz w:val="21"/>
      <w:szCs w:val="24"/>
    </w:rPr>
  </w:style>
  <w:style w:type="character" w:customStyle="1" w:styleId="31">
    <w:name w:val="批注框文本 字符"/>
    <w:link w:val="12"/>
    <w:qFormat/>
    <w:uiPriority w:val="0"/>
    <w:rPr>
      <w:kern w:val="2"/>
      <w:sz w:val="18"/>
      <w:szCs w:val="18"/>
    </w:rPr>
  </w:style>
  <w:style w:type="character" w:customStyle="1" w:styleId="32">
    <w:name w:val="页脚 字符"/>
    <w:link w:val="13"/>
    <w:qFormat/>
    <w:uiPriority w:val="99"/>
    <w:rPr>
      <w:kern w:val="2"/>
    </w:rPr>
  </w:style>
  <w:style w:type="character" w:customStyle="1" w:styleId="33">
    <w:name w:val="页眉 字符"/>
    <w:link w:val="14"/>
    <w:qFormat/>
    <w:uiPriority w:val="99"/>
    <w:rPr>
      <w:kern w:val="2"/>
    </w:rPr>
  </w:style>
  <w:style w:type="character" w:customStyle="1" w:styleId="34">
    <w:name w:val="正文文本首行缩进 字符"/>
    <w:link w:val="18"/>
    <w:qFormat/>
    <w:uiPriority w:val="0"/>
    <w:rPr>
      <w:szCs w:val="24"/>
    </w:rPr>
  </w:style>
  <w:style w:type="character" w:customStyle="1" w:styleId="35">
    <w:name w:val="p121"/>
    <w:qFormat/>
    <w:uiPriority w:val="0"/>
    <w:rPr>
      <w:rFonts w:hint="default" w:ascii="_x000B__x000C_" w:hAnsi="_x000B__x000C_"/>
      <w:sz w:val="24"/>
      <w:szCs w:val="24"/>
      <w:u w:val="none"/>
    </w:rPr>
  </w:style>
  <w:style w:type="character" w:customStyle="1" w:styleId="36">
    <w:name w:val="NormalCharacter"/>
    <w:semiHidden/>
    <w:qFormat/>
    <w:uiPriority w:val="0"/>
  </w:style>
  <w:style w:type="paragraph" w:customStyle="1" w:styleId="37">
    <w:name w:val="表格"/>
    <w:qFormat/>
    <w:uiPriority w:val="0"/>
    <w:pPr>
      <w:adjustRightInd w:val="0"/>
      <w:snapToGrid w:val="0"/>
      <w:spacing w:before="40" w:after="40"/>
      <w:jc w:val="center"/>
    </w:pPr>
    <w:rPr>
      <w:rFonts w:ascii="仿宋_GB2312" w:hAnsi="Times New Roman" w:eastAsia="仿宋_GB2312" w:cs="Times New Roman"/>
      <w:sz w:val="24"/>
      <w:lang w:val="en-US" w:eastAsia="zh-CN" w:bidi="ar-SA"/>
    </w:rPr>
  </w:style>
  <w:style w:type="paragraph" w:styleId="38">
    <w:name w:val="List Paragraph"/>
    <w:basedOn w:val="1"/>
    <w:qFormat/>
    <w:uiPriority w:val="99"/>
    <w:pPr>
      <w:ind w:firstLine="420" w:firstLineChars="200"/>
    </w:pPr>
    <w:rPr>
      <w:rFonts w:ascii="Times New Roman" w:hAnsi="Times New Roman"/>
    </w:rPr>
  </w:style>
  <w:style w:type="paragraph" w:customStyle="1" w:styleId="39">
    <w:name w:val="p12"/>
    <w:basedOn w:val="1"/>
    <w:qFormat/>
    <w:uiPriority w:val="99"/>
    <w:pPr>
      <w:widowControl/>
      <w:spacing w:before="100" w:beforeAutospacing="1" w:after="100" w:afterAutospacing="1"/>
      <w:jc w:val="left"/>
    </w:pPr>
    <w:rPr>
      <w:rFonts w:ascii="_x000B__x000C_" w:hAnsi="_x000B__x000C_"/>
      <w:color w:val="000000"/>
      <w:kern w:val="0"/>
      <w:sz w:val="24"/>
    </w:rPr>
  </w:style>
  <w:style w:type="paragraph" w:customStyle="1" w:styleId="40">
    <w:name w:val="p10"/>
    <w:basedOn w:val="1"/>
    <w:qFormat/>
    <w:uiPriority w:val="0"/>
    <w:pPr>
      <w:widowControl/>
      <w:spacing w:before="100" w:beforeAutospacing="1" w:after="100" w:afterAutospacing="1"/>
      <w:jc w:val="left"/>
    </w:pPr>
    <w:rPr>
      <w:rFonts w:ascii="_x000B__x000C_" w:hAnsi="_x000B__x000C_"/>
      <w:color w:val="000000"/>
      <w:kern w:val="0"/>
      <w:sz w:val="20"/>
      <w:szCs w:val="20"/>
    </w:rPr>
  </w:style>
  <w:style w:type="paragraph" w:customStyle="1" w:styleId="41">
    <w:name w:val="BodyText1I2"/>
    <w:basedOn w:val="42"/>
    <w:qFormat/>
    <w:uiPriority w:val="0"/>
    <w:pPr>
      <w:spacing w:line="360" w:lineRule="auto"/>
      <w:ind w:firstLine="420" w:firstLineChars="200"/>
      <w:jc w:val="both"/>
      <w:textAlignment w:val="baseline"/>
    </w:pPr>
  </w:style>
  <w:style w:type="paragraph" w:customStyle="1" w:styleId="42">
    <w:name w:val="BodyTextIndent"/>
    <w:basedOn w:val="1"/>
    <w:qFormat/>
    <w:uiPriority w:val="0"/>
    <w:pPr>
      <w:spacing w:line="360" w:lineRule="auto"/>
      <w:ind w:firstLine="540" w:firstLineChars="225"/>
      <w:jc w:val="both"/>
      <w:textAlignment w:val="baseline"/>
    </w:pPr>
    <w:rPr>
      <w:kern w:val="2"/>
      <w:sz w:val="24"/>
      <w:szCs w:val="24"/>
      <w:lang w:val="en-US" w:eastAsia="zh-CN" w:bidi="ar-SA"/>
    </w:rPr>
  </w:style>
  <w:style w:type="paragraph" w:customStyle="1" w:styleId="43">
    <w:name w:val="Body Text Indent 2"/>
    <w:basedOn w:val="1"/>
    <w:qFormat/>
    <w:uiPriority w:val="0"/>
    <w:pPr>
      <w:spacing w:line="560" w:lineRule="exact"/>
      <w:ind w:firstLine="560" w:firstLineChars="200"/>
    </w:pPr>
    <w:rPr>
      <w:rFonts w:ascii="宋体" w:hAnsi="宋体"/>
      <w:sz w:val="28"/>
    </w:rPr>
  </w:style>
  <w:style w:type="paragraph" w:customStyle="1" w:styleId="44">
    <w:name w:val="Heading #2|1"/>
    <w:basedOn w:val="1"/>
    <w:qFormat/>
    <w:uiPriority w:val="0"/>
    <w:pPr>
      <w:spacing w:after="220"/>
      <w:jc w:val="left"/>
      <w:outlineLvl w:val="1"/>
    </w:pPr>
    <w:rPr>
      <w:rFonts w:ascii="宋体" w:hAnsi="宋体" w:cs="宋体"/>
      <w:color w:val="000000"/>
      <w:kern w:val="0"/>
      <w:sz w:val="26"/>
      <w:szCs w:val="26"/>
      <w:lang w:val="zh-TW" w:eastAsia="zh-TW" w:bidi="zh-TW"/>
    </w:rPr>
  </w:style>
  <w:style w:type="paragraph" w:customStyle="1" w:styleId="45">
    <w:name w:val="Body text|1"/>
    <w:basedOn w:val="1"/>
    <w:qFormat/>
    <w:uiPriority w:val="0"/>
    <w:pPr>
      <w:spacing w:line="480" w:lineRule="auto"/>
      <w:jc w:val="left"/>
    </w:pPr>
    <w:rPr>
      <w:rFonts w:ascii="宋体" w:hAnsi="宋体" w:cs="宋体"/>
      <w:color w:val="000000"/>
      <w:kern w:val="0"/>
      <w:sz w:val="17"/>
      <w:szCs w:val="17"/>
      <w:lang w:val="zh-TW" w:eastAsia="zh-TW" w:bidi="zh-TW"/>
    </w:rPr>
  </w:style>
  <w:style w:type="character" w:customStyle="1" w:styleId="46">
    <w:name w:val="font11"/>
    <w:qFormat/>
    <w:uiPriority w:val="0"/>
    <w:rPr>
      <w:rFonts w:hint="eastAsia" w:ascii="宋体" w:hAnsi="宋体" w:eastAsia="宋体" w:cs="宋体"/>
      <w:color w:val="000000"/>
      <w:sz w:val="21"/>
      <w:szCs w:val="21"/>
      <w:u w:val="none"/>
    </w:rPr>
  </w:style>
  <w:style w:type="paragraph" w:styleId="47">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48">
    <w:name w:val="1"/>
    <w:basedOn w:val="1"/>
    <w:next w:val="1"/>
    <w:qFormat/>
    <w:uiPriority w:val="0"/>
  </w:style>
  <w:style w:type="character" w:customStyle="1" w:styleId="49">
    <w:name w:val="副标题 字符"/>
    <w:link w:val="15"/>
    <w:qFormat/>
    <w:uiPriority w:val="0"/>
    <w:rPr>
      <w:rFonts w:ascii="等线 Light" w:hAnsi="等线 Light" w:cs="Times New Roman"/>
      <w:b/>
      <w:bCs/>
      <w:kern w:val="28"/>
      <w:sz w:val="32"/>
      <w:szCs w:val="32"/>
    </w:rPr>
  </w:style>
  <w:style w:type="paragraph" w:customStyle="1" w:styleId="50">
    <w:name w:val="正文 A A"/>
    <w:qFormat/>
    <w:uiPriority w:val="0"/>
    <w:pPr>
      <w:widowControl w:val="0"/>
      <w:jc w:val="both"/>
    </w:pPr>
    <w:rPr>
      <w:rFonts w:hint="eastAsia" w:ascii="Arial Unicode MS" w:hAnsi="Arial Unicode MS" w:eastAsia="Arial Unicode MS" w:cs="Arial Unicode MS"/>
      <w:color w:val="000000"/>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22</Pages>
  <Words>10711</Words>
  <Characters>11237</Characters>
  <Lines>56</Lines>
  <Paragraphs>15</Paragraphs>
  <TotalTime>99</TotalTime>
  <ScaleCrop>false</ScaleCrop>
  <LinksUpToDate>false</LinksUpToDate>
  <CharactersWithSpaces>11806</CharactersWithSpaces>
  <Application>WPS Office_12.1.0.18345_F1E327BC-269C-435d-A152-05C5408002CA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2023-09-13T07:51:00Z</dcterms:created>
  <dc:creator>微软用户</dc:creator>
  <cp:lastModifiedBy>刘俊</cp:lastModifiedBy>
  <cp:lastPrinted>2023-09-26T23:42:00Z</cp:lastPrinted>
  <dcterms:modified xsi:type="dcterms:W3CDTF">2024-11-18T10:34:37Z</dcterms:modified>
  <dc:title>华熙矿业有限公司招标文件</dc:title>
  <cp:revision>105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2052-12.1.0.18345</vt:lpwstr>
  </property>
  <property fmtid="{D5CDD505-2E9C-101B-9397-08002B2CF9AE}" pid="3" name="ICV">
    <vt:lpwstr>806F450A04A045F984707542DA2CE147_13</vt:lpwstr>
  </property>
</Properties>
</file>